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_rels/footnotes.xml.rels" ContentType="application/vnd.openxmlformats-package.relationships+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r>
    </w:p>
    <w:p>
      <w:pPr>
        <w:pStyle w:val="BodyText"/>
        <w:rPr/>
      </w:pPr>
      <w:r>
        <w:rPr/>
      </w:r>
    </w:p>
    <w:tbl>
      <w:tblPr>
        <w:tblStyle w:val="3"/>
        <w:tblW w:w="10277" w:type="dxa"/>
        <w:jc w:val="left"/>
        <w:tblInd w:w="-1" w:type="dxa"/>
        <w:tblLayout w:type="fixed"/>
        <w:tblCellMar>
          <w:top w:w="0" w:type="dxa"/>
          <w:left w:w="70" w:type="dxa"/>
          <w:bottom w:w="0" w:type="dxa"/>
          <w:right w:w="70" w:type="dxa"/>
        </w:tblCellMar>
      </w:tblPr>
      <w:tblGrid>
        <w:gridCol w:w="645"/>
        <w:gridCol w:w="8060"/>
        <w:gridCol w:w="1572"/>
      </w:tblGrid>
      <w:tr>
        <w:trPr/>
        <w:tc>
          <w:tcPr>
            <w:tcW w:w="10277" w:type="dxa"/>
            <w:gridSpan w:val="3"/>
            <w:tcBorders/>
          </w:tcPr>
          <w:p>
            <w:pPr>
              <w:pStyle w:val="Normal"/>
              <w:bidi w:val="0"/>
              <w:ind w:hanging="0" w:left="0" w:right="0"/>
              <w:jc w:val="center"/>
              <w:rPr>
                <w:rFonts w:ascii="Times New Roman" w:hAnsi="Times New Roman"/>
                <w:b/>
                <w:bCs/>
                <w:sz w:val="22"/>
                <w:szCs w:val="22"/>
              </w:rPr>
            </w:pPr>
            <w:r>
              <w:rPr>
                <w:b/>
                <w:bCs/>
                <w:sz w:val="22"/>
                <w:szCs w:val="22"/>
              </w:rPr>
              <w:t>ПРЕЙСКУРАНТ  № 13</w:t>
            </w:r>
          </w:p>
          <w:p>
            <w:pPr>
              <w:pStyle w:val="Normal"/>
              <w:bidi w:val="0"/>
              <w:ind w:hanging="0" w:left="0" w:right="0"/>
              <w:jc w:val="center"/>
              <w:rPr>
                <w:rFonts w:ascii="Times New Roman" w:hAnsi="Times New Roman"/>
                <w:b/>
                <w:bCs/>
                <w:sz w:val="22"/>
                <w:szCs w:val="22"/>
              </w:rPr>
            </w:pPr>
            <w:r>
              <w:rPr>
                <w:b/>
                <w:bCs/>
                <w:sz w:val="22"/>
                <w:szCs w:val="22"/>
              </w:rPr>
              <w:t>на услуги</w:t>
            </w:r>
            <w:r>
              <w:rPr>
                <w:rFonts w:eastAsia="Cambria Math" w:cs="Times New Roman"/>
                <w:b/>
                <w:bCs/>
                <w:color w:val="auto"/>
                <w:kern w:val="2"/>
                <w:sz w:val="22"/>
                <w:szCs w:val="22"/>
                <w:lang w:val="ru-RU" w:eastAsia="ru-RU" w:bidi="ar-SA"/>
              </w:rPr>
              <w:t>, предоставляемые зарегистрированным лицам в реестрах акционеров</w:t>
            </w:r>
          </w:p>
          <w:p>
            <w:pPr>
              <w:pStyle w:val="Normal"/>
              <w:bidi w:val="0"/>
              <w:ind w:hanging="0" w:left="0" w:right="0"/>
              <w:jc w:val="center"/>
              <w:rPr/>
            </w:pPr>
            <w:r>
              <w:rPr>
                <w:rFonts w:eastAsia="Cambria Math" w:cs="Times New Roman"/>
                <w:b/>
                <w:bCs/>
                <w:color w:val="auto"/>
                <w:kern w:val="2"/>
                <w:sz w:val="22"/>
                <w:szCs w:val="22"/>
                <w:lang w:val="ru-RU" w:eastAsia="ru-RU" w:bidi="ar-SA"/>
              </w:rPr>
              <w:t>АО «Соликамскбумпром», АО «СУ-7 СМТ»</w:t>
            </w:r>
          </w:p>
          <w:p>
            <w:pPr>
              <w:pStyle w:val="Normal"/>
              <w:ind w:hanging="0" w:left="0" w:right="0"/>
              <w:jc w:val="center"/>
              <w:rPr>
                <w:sz w:val="22"/>
                <w:szCs w:val="22"/>
              </w:rPr>
            </w:pPr>
            <w:r>
              <w:rPr>
                <w:b/>
                <w:sz w:val="22"/>
                <w:szCs w:val="22"/>
              </w:rPr>
              <w:t>(Действует с  12.01.2026)</w:t>
            </w:r>
          </w:p>
          <w:p>
            <w:pPr>
              <w:pStyle w:val="Normal"/>
              <w:bidi w:val="0"/>
              <w:ind w:hanging="0" w:left="0" w:right="0"/>
              <w:jc w:val="center"/>
              <w:rPr>
                <w:rFonts w:ascii="Times New Roman" w:hAnsi="Times New Roman"/>
                <w:b/>
                <w:bCs/>
                <w:sz w:val="18"/>
                <w:szCs w:val="18"/>
              </w:rPr>
            </w:pPr>
            <w:r>
              <w:rPr>
                <w:b/>
                <w:bCs/>
                <w:sz w:val="18"/>
                <w:szCs w:val="18"/>
              </w:rPr>
            </w:r>
          </w:p>
        </w:tc>
      </w:tr>
      <w:tr>
        <w:trPr/>
        <w:tc>
          <w:tcPr>
            <w:tcW w:w="645"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rFonts w:ascii="Times New Roman" w:hAnsi="Times New Roman"/>
                <w:b/>
                <w:bCs/>
                <w:lang w:val="ru-RU"/>
              </w:rPr>
            </w:pPr>
            <w:r>
              <w:rPr>
                <w:b/>
                <w:bCs/>
                <w:lang w:val="ru-RU"/>
              </w:rPr>
              <w:t>№</w:t>
            </w:r>
          </w:p>
        </w:tc>
        <w:tc>
          <w:tcPr>
            <w:tcW w:w="8060"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pPr>
            <w:r>
              <w:rPr>
                <w:b/>
                <w:bCs/>
              </w:rPr>
              <w:t>Наименование услуги</w:t>
            </w:r>
          </w:p>
        </w:tc>
        <w:tc>
          <w:tcPr>
            <w:tcW w:w="1572" w:type="dxa"/>
            <w:tcBorders>
              <w:top w:val="double" w:sz="6" w:space="0" w:color="000000"/>
              <w:left w:val="double" w:sz="6" w:space="0" w:color="000000"/>
              <w:right w:val="double" w:sz="6" w:space="0" w:color="000000"/>
            </w:tcBorders>
            <w:tcMar>
              <w:left w:w="71" w:type="dxa"/>
              <w:right w:w="71" w:type="dxa"/>
            </w:tcMar>
            <w:vAlign w:val="bottom"/>
          </w:tcPr>
          <w:p>
            <w:pPr>
              <w:pStyle w:val="Normal"/>
              <w:bidi w:val="0"/>
              <w:ind w:hanging="0" w:left="0" w:right="0"/>
              <w:jc w:val="center"/>
              <w:rPr>
                <w:rFonts w:ascii="Times New Roman" w:hAnsi="Times New Roman"/>
                <w:b/>
                <w:bCs/>
                <w:vertAlign w:val="superscript"/>
              </w:rPr>
            </w:pPr>
            <w:r>
              <w:rPr>
                <w:b/>
                <w:bCs/>
              </w:rPr>
              <w:t>Стоимость</w:t>
            </w:r>
            <w:r>
              <w:rPr>
                <w:rStyle w:val="FootnoteReference"/>
                <w:b/>
                <w:bCs/>
              </w:rPr>
              <w:footnoteReference w:id="2"/>
            </w:r>
          </w:p>
          <w:p>
            <w:pPr>
              <w:pStyle w:val="Normal"/>
              <w:bidi w:val="0"/>
              <w:ind w:hanging="0" w:left="0" w:right="0"/>
              <w:jc w:val="center"/>
              <w:rPr/>
            </w:pPr>
            <w:r>
              <w:rPr>
                <w:b/>
                <w:bCs/>
              </w:rPr>
              <w:t>(руб.)</w:t>
            </w:r>
          </w:p>
        </w:tc>
      </w:tr>
      <w:tr>
        <w:trPr/>
        <w:tc>
          <w:tcPr>
            <w:tcW w:w="10277" w:type="dxa"/>
            <w:gridSpan w:val="3"/>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b/>
                <w:bCs/>
                <w:lang w:val="ru-RU"/>
              </w:rPr>
            </w:pPr>
            <w:r>
              <w:rPr>
                <w:b/>
                <w:bCs/>
                <w:lang w:val="ru-RU"/>
              </w:rPr>
              <w:t>Внесение записей в реестр</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left"/>
              <w:rPr>
                <w:rFonts w:ascii="Times New Roman" w:hAnsi="Times New Roman"/>
                <w:b/>
                <w:bCs/>
              </w:rPr>
            </w:pPr>
            <w:r>
              <w:rPr>
                <w:b/>
                <w:bCs/>
              </w:rPr>
              <w:t>Открытие лицевого счета:</w:t>
            </w:r>
          </w:p>
          <w:p>
            <w:pPr>
              <w:pStyle w:val="Normal"/>
              <w:bidi w:val="0"/>
              <w:ind w:hanging="0" w:left="0" w:right="0"/>
              <w:jc w:val="left"/>
              <w:rPr>
                <w:rFonts w:ascii="Times New Roman" w:hAnsi="Times New Roman"/>
                <w:bCs/>
                <w:lang w:val="ru-RU"/>
              </w:rPr>
            </w:pPr>
            <w:r>
              <w:rPr>
                <w:bCs/>
              </w:rPr>
              <w:t>Физическо</w:t>
            </w:r>
            <w:r>
              <w:rPr>
                <w:bCs/>
                <w:lang w:val="ru-RU"/>
              </w:rPr>
              <w:t>е</w:t>
            </w:r>
            <w:r>
              <w:rPr>
                <w:bCs/>
              </w:rPr>
              <w:t xml:space="preserve"> лиц</w:t>
            </w:r>
            <w:r>
              <w:rPr>
                <w:bCs/>
                <w:lang w:val="ru-RU"/>
              </w:rPr>
              <w:t>о</w:t>
            </w:r>
          </w:p>
          <w:p>
            <w:pPr>
              <w:pStyle w:val="Normal"/>
              <w:bidi w:val="0"/>
              <w:ind w:hanging="0" w:left="0" w:right="0"/>
              <w:jc w:val="left"/>
              <w:rPr>
                <w:bCs/>
                <w:lang w:val="ru-RU"/>
              </w:rPr>
            </w:pPr>
            <w:r>
              <w:rPr>
                <w:bCs/>
              </w:rPr>
              <w:t>Юридическо</w:t>
            </w:r>
            <w:r>
              <w:rPr>
                <w:bCs/>
                <w:lang w:val="ru-RU"/>
              </w:rPr>
              <w:t>е</w:t>
            </w:r>
            <w:r>
              <w:rPr>
                <w:bCs/>
              </w:rPr>
              <w:t xml:space="preserve"> лиц</w:t>
            </w:r>
            <w:r>
              <w:rPr>
                <w:bCs/>
                <w:lang w:val="ru-RU"/>
              </w:rPr>
              <w:t>о</w:t>
            </w:r>
          </w:p>
          <w:p>
            <w:pPr>
              <w:pStyle w:val="Normal"/>
              <w:bidi w:val="0"/>
              <w:ind w:hanging="0" w:left="0" w:right="0"/>
              <w:jc w:val="left"/>
              <w:rPr>
                <w:bCs/>
                <w:lang w:val="ru-RU"/>
              </w:rPr>
            </w:pPr>
            <w:r>
              <w:rPr>
                <w:bCs/>
                <w:lang w:val="ru-RU"/>
              </w:rPr>
              <w:t>Номинальный держатель центральный депозитарий</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lang w:val="ru-RU"/>
              </w:rPr>
            </w:pPr>
            <w:r>
              <w:rPr>
                <w:lang w:val="ru-RU"/>
              </w:rPr>
              <w:t>175</w:t>
            </w:r>
          </w:p>
          <w:p>
            <w:pPr>
              <w:pStyle w:val="Normal"/>
              <w:bidi w:val="0"/>
              <w:ind w:hanging="0" w:left="0" w:right="0"/>
              <w:jc w:val="right"/>
              <w:rPr/>
            </w:pPr>
            <w:r>
              <w:rPr>
                <w:lang w:val="ru-RU"/>
              </w:rPr>
              <w:t>84</w:t>
            </w:r>
            <w:r>
              <w:rPr/>
              <w:t>0</w:t>
            </w:r>
          </w:p>
          <w:p>
            <w:pPr>
              <w:pStyle w:val="Normal"/>
              <w:bidi w:val="0"/>
              <w:ind w:hanging="0" w:left="0" w:right="0"/>
              <w:jc w:val="right"/>
              <w:rPr>
                <w:lang w:val="ru-RU"/>
              </w:rPr>
            </w:pPr>
            <w:r>
              <w:rPr>
                <w:lang w:val="ru-RU"/>
              </w:rPr>
              <w:t>420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left"/>
              <w:rPr>
                <w:rFonts w:ascii="Times New Roman" w:hAnsi="Times New Roman"/>
                <w:b/>
                <w:bCs/>
              </w:rPr>
            </w:pPr>
            <w:r>
              <w:rPr>
                <w:b/>
                <w:bCs/>
                <w:lang w:val="ru-RU"/>
              </w:rPr>
              <w:t xml:space="preserve">Закрытие </w:t>
            </w:r>
            <w:r>
              <w:rPr>
                <w:b/>
                <w:bCs/>
              </w:rPr>
              <w:t>лицевого счета:</w:t>
            </w:r>
          </w:p>
          <w:p>
            <w:pPr>
              <w:pStyle w:val="Normal"/>
              <w:bidi w:val="0"/>
              <w:ind w:hanging="0" w:left="0" w:right="0"/>
              <w:jc w:val="left"/>
              <w:rPr>
                <w:rFonts w:ascii="Times New Roman" w:hAnsi="Times New Roman"/>
                <w:bCs/>
                <w:lang w:val="ru-RU"/>
              </w:rPr>
            </w:pPr>
            <w:r>
              <w:rPr>
                <w:bCs/>
              </w:rPr>
              <w:t>Физическо</w:t>
            </w:r>
            <w:r>
              <w:rPr>
                <w:bCs/>
                <w:lang w:val="ru-RU"/>
              </w:rPr>
              <w:t>е</w:t>
            </w:r>
            <w:r>
              <w:rPr>
                <w:bCs/>
              </w:rPr>
              <w:t xml:space="preserve"> лиц</w:t>
            </w:r>
            <w:r>
              <w:rPr>
                <w:bCs/>
                <w:lang w:val="ru-RU"/>
              </w:rPr>
              <w:t>о</w:t>
            </w:r>
          </w:p>
          <w:p>
            <w:pPr>
              <w:pStyle w:val="Normal"/>
              <w:bidi w:val="0"/>
              <w:ind w:hanging="0" w:left="0" w:right="0"/>
              <w:jc w:val="left"/>
              <w:rPr>
                <w:bCs/>
                <w:lang w:val="ru-RU"/>
              </w:rPr>
            </w:pPr>
            <w:r>
              <w:rPr>
                <w:bCs/>
              </w:rPr>
              <w:t>Юридическо</w:t>
            </w:r>
            <w:r>
              <w:rPr>
                <w:bCs/>
                <w:lang w:val="ru-RU"/>
              </w:rPr>
              <w:t>е</w:t>
            </w:r>
            <w:r>
              <w:rPr>
                <w:bCs/>
              </w:rPr>
              <w:t xml:space="preserve"> лиц</w:t>
            </w:r>
            <w:r>
              <w:rPr>
                <w:bCs/>
                <w:lang w:val="ru-RU"/>
              </w:rPr>
              <w:t>о</w:t>
            </w:r>
          </w:p>
          <w:p>
            <w:pPr>
              <w:pStyle w:val="Normal"/>
              <w:bidi w:val="0"/>
              <w:ind w:hanging="0" w:left="0" w:right="0"/>
              <w:jc w:val="left"/>
              <w:rPr>
                <w:bCs/>
                <w:lang w:val="ru-RU"/>
              </w:rPr>
            </w:pPr>
            <w:r>
              <w:rPr>
                <w:bCs/>
                <w:lang w:val="ru-RU"/>
              </w:rPr>
              <w:t>Номинальный держатель центральный депозитарий</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85</w:t>
            </w:r>
          </w:p>
          <w:p>
            <w:pPr>
              <w:pStyle w:val="Normal"/>
              <w:bidi w:val="0"/>
              <w:ind w:hanging="0" w:left="0" w:right="0"/>
              <w:jc w:val="right"/>
              <w:rPr>
                <w:lang w:val="ru-RU"/>
              </w:rPr>
            </w:pPr>
            <w:r>
              <w:rPr>
                <w:lang w:val="ru-RU"/>
              </w:rPr>
              <w:t>420</w:t>
            </w:r>
          </w:p>
          <w:p>
            <w:pPr>
              <w:pStyle w:val="Normal"/>
              <w:bidi w:val="0"/>
              <w:ind w:hanging="0" w:left="0" w:right="0"/>
              <w:jc w:val="right"/>
              <w:rPr>
                <w:lang w:val="ru-RU"/>
              </w:rPr>
            </w:pPr>
            <w:r>
              <w:rPr>
                <w:lang w:val="ru-RU"/>
              </w:rPr>
              <w:t>420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3</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left"/>
              <w:rPr>
                <w:rFonts w:ascii="Times New Roman" w:hAnsi="Times New Roman"/>
                <w:b/>
                <w:bCs/>
              </w:rPr>
            </w:pPr>
            <w:r>
              <w:rPr>
                <w:b/>
                <w:bCs/>
              </w:rPr>
              <w:t>Внесение изменений в информацию лицевого счета</w:t>
            </w:r>
            <w:r>
              <w:rPr>
                <w:b/>
                <w:bCs/>
                <w:lang w:val="ru-RU"/>
              </w:rPr>
              <w:t xml:space="preserve"> о зарегистрированном лице</w:t>
            </w:r>
            <w:r>
              <w:rPr>
                <w:b/>
                <w:bCs/>
              </w:rPr>
              <w:t>:</w:t>
            </w:r>
          </w:p>
          <w:p>
            <w:pPr>
              <w:pStyle w:val="Normal"/>
              <w:bidi w:val="0"/>
              <w:ind w:hanging="0" w:left="0" w:right="0"/>
              <w:jc w:val="left"/>
              <w:rPr>
                <w:rFonts w:ascii="Times New Roman" w:hAnsi="Times New Roman"/>
                <w:bCs/>
              </w:rPr>
            </w:pPr>
            <w:r>
              <w:rPr>
                <w:bCs/>
              </w:rPr>
              <w:t>Физическому лицу резиденту РФ</w:t>
            </w:r>
          </w:p>
          <w:p>
            <w:pPr>
              <w:pStyle w:val="Normal"/>
              <w:bidi w:val="0"/>
              <w:ind w:hanging="0" w:left="0" w:right="0"/>
              <w:jc w:val="left"/>
              <w:rPr/>
            </w:pPr>
            <w:r>
              <w:rPr>
                <w:bCs/>
              </w:rPr>
              <w:t>Физическому лицу нерезиденту РФ</w:t>
            </w:r>
          </w:p>
          <w:p>
            <w:pPr>
              <w:pStyle w:val="Normal"/>
              <w:bidi w:val="0"/>
              <w:ind w:hanging="0" w:left="0" w:right="0"/>
              <w:jc w:val="left"/>
              <w:rPr/>
            </w:pPr>
            <w:r>
              <w:rPr>
                <w:bCs/>
              </w:rPr>
              <w:t>Юридическому лицу резиденту РФ</w:t>
            </w:r>
          </w:p>
          <w:p>
            <w:pPr>
              <w:pStyle w:val="Normal"/>
              <w:bidi w:val="0"/>
              <w:ind w:hanging="0" w:left="0" w:right="0"/>
              <w:jc w:val="left"/>
              <w:rPr/>
            </w:pPr>
            <w:r>
              <w:rPr>
                <w:bCs/>
              </w:rPr>
              <w:t>Юридическому лицу нерезиденту РФ</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200</w:t>
            </w:r>
          </w:p>
          <w:p>
            <w:pPr>
              <w:pStyle w:val="Normal"/>
              <w:bidi w:val="0"/>
              <w:ind w:hanging="0" w:left="0" w:right="0"/>
              <w:jc w:val="right"/>
              <w:rPr/>
            </w:pPr>
            <w:r>
              <w:rPr>
                <w:lang w:val="ru-RU"/>
              </w:rPr>
              <w:t>5</w:t>
            </w:r>
            <w:r>
              <w:rPr/>
              <w:t>00</w:t>
            </w:r>
          </w:p>
          <w:p>
            <w:pPr>
              <w:pStyle w:val="Normal"/>
              <w:bidi w:val="0"/>
              <w:ind w:hanging="0" w:left="0" w:right="0"/>
              <w:jc w:val="right"/>
              <w:rPr/>
            </w:pPr>
            <w:r>
              <w:rPr>
                <w:lang w:val="ru-RU"/>
              </w:rPr>
              <w:t>150</w:t>
            </w:r>
            <w:r>
              <w:rPr/>
              <w:t>0</w:t>
            </w:r>
          </w:p>
          <w:p>
            <w:pPr>
              <w:pStyle w:val="Normal"/>
              <w:bidi w:val="0"/>
              <w:ind w:hanging="0" w:left="0" w:right="0"/>
              <w:jc w:val="right"/>
              <w:rPr/>
            </w:pPr>
            <w:r>
              <w:rPr>
                <w:lang w:val="ru-RU"/>
              </w:rPr>
              <w:t>3</w:t>
            </w:r>
            <w:r>
              <w:rPr/>
              <w:t>000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4.</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left"/>
              <w:rPr>
                <w:bCs/>
                <w:lang w:val="ru-RU"/>
              </w:rPr>
            </w:pPr>
            <w:r>
              <w:rPr>
                <w:b/>
                <w:bCs/>
                <w:lang w:val="ru-RU"/>
              </w:rPr>
              <w:t>И</w:t>
            </w:r>
            <w:r>
              <w:rPr>
                <w:b/>
                <w:bCs/>
              </w:rPr>
              <w:t>зменени</w:t>
            </w:r>
            <w:r>
              <w:rPr>
                <w:b/>
                <w:bCs/>
                <w:lang w:val="ru-RU"/>
              </w:rPr>
              <w:t>е</w:t>
            </w:r>
            <w:r>
              <w:rPr>
                <w:b/>
                <w:bCs/>
              </w:rPr>
              <w:t xml:space="preserve"> лицевого счета</w:t>
            </w:r>
            <w:r>
              <w:rPr>
                <w:b/>
                <w:bCs/>
                <w:lang w:val="ru-RU"/>
              </w:rPr>
              <w:t xml:space="preserve"> номинального держателя </w:t>
            </w:r>
            <w:r>
              <w:rPr>
                <w:b w:val="false"/>
                <w:bCs w:val="false"/>
                <w:lang w:val="ru-RU"/>
              </w:rPr>
              <w:t>на лицевой счет номинального держателя центрального депозитария, либо лицевого счета номинального держателя центрального депозитария на  лицевой счет номинального держателя</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420</w:t>
            </w:r>
          </w:p>
        </w:tc>
      </w:tr>
      <w:tr>
        <w:trPr/>
        <w:tc>
          <w:tcPr>
            <w:tcW w:w="645" w:type="dxa"/>
            <w:tcBorders>
              <w:top w:val="double" w:sz="2"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lang w:val="ru-RU"/>
              </w:rPr>
              <w:t>5</w:t>
            </w:r>
            <w:r>
              <w:rPr>
                <w:b/>
                <w:bCs/>
              </w:rPr>
              <w:t>.</w:t>
            </w:r>
          </w:p>
        </w:tc>
        <w:tc>
          <w:tcPr>
            <w:tcW w:w="8060" w:type="dxa"/>
            <w:tcBorders>
              <w:top w:val="double" w:sz="2"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bCs/>
                <w:vertAlign w:val="superscript"/>
              </w:rPr>
            </w:pPr>
            <w:r>
              <w:rPr>
                <w:b/>
                <w:bCs/>
              </w:rPr>
              <w:t xml:space="preserve"> </w:t>
            </w:r>
            <w:r>
              <w:rPr>
                <w:b/>
                <w:bCs/>
              </w:rPr>
              <w:t xml:space="preserve">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w:t>
            </w:r>
            <w:r>
              <w:rPr>
                <w:bCs/>
                <w:lang w:val="ru-RU"/>
              </w:rPr>
              <w:t xml:space="preserve">пунктами 6,7,8 </w:t>
            </w:r>
            <w:r>
              <w:rPr>
                <w:bCs/>
              </w:rPr>
              <w:t xml:space="preserve">Прейскуранта), </w:t>
            </w:r>
            <w:r>
              <w:rPr/>
              <w:t>в совокупности за обе операции</w:t>
            </w:r>
            <w:r>
              <w:rPr>
                <w:lang w:val="ru-RU"/>
              </w:rPr>
              <w:t xml:space="preserve"> (за одно распоряжение)</w:t>
            </w:r>
            <w:r>
              <w:rPr/>
              <w:t xml:space="preserve"> при стоимости ценных бумаг</w:t>
            </w:r>
            <w:r>
              <w:rPr>
                <w:rStyle w:val="FootnoteReference"/>
              </w:rPr>
              <w:footnoteReference w:id="3"/>
            </w:r>
            <w:r>
              <w:rPr/>
              <w:t>:</w:t>
            </w:r>
          </w:p>
        </w:tc>
        <w:tc>
          <w:tcPr>
            <w:tcW w:w="1572" w:type="dxa"/>
            <w:tcBorders>
              <w:top w:val="double" w:sz="2"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rFonts w:ascii="Times New Roman" w:hAnsi="Times New Roman"/>
              </w:rPr>
            </w:pPr>
            <w:r>
              <w:rPr/>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.1.</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не более 3 000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300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5.2.</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b/>
                <w:bCs/>
                <w:lang w:val="ru-RU"/>
              </w:rPr>
            </w:pPr>
            <w:r>
              <w:rPr>
                <w:b/>
                <w:bCs/>
                <w:lang w:val="ru-RU"/>
              </w:rPr>
              <w:t>более 3 000 руб., но не более 10 000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600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5.3.</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b/>
                <w:bCs/>
                <w:lang w:val="ru-RU"/>
              </w:rPr>
            </w:pPr>
            <w:r>
              <w:rPr>
                <w:b/>
                <w:bCs/>
                <w:lang w:val="ru-RU"/>
              </w:rPr>
              <w:t>более 10 000 руб., но не более 20 000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1000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4</w:t>
            </w:r>
            <w:r>
              <w:rPr>
                <w:b/>
              </w:rPr>
              <w:t>.</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 xml:space="preserve">более </w:t>
            </w:r>
            <w:r>
              <w:rPr>
                <w:b/>
                <w:bCs/>
                <w:lang w:val="ru-RU"/>
              </w:rPr>
              <w:t xml:space="preserve">20 </w:t>
            </w:r>
            <w:r>
              <w:rPr>
                <w:b/>
                <w:bCs/>
              </w:rPr>
              <w:t xml:space="preserve">000 руб., но не более </w:t>
            </w:r>
            <w:r>
              <w:rPr>
                <w:b/>
                <w:bCs/>
                <w:lang w:val="ru-RU"/>
              </w:rPr>
              <w:t xml:space="preserve">50 </w:t>
            </w:r>
            <w:r>
              <w:rPr>
                <w:b/>
                <w:bCs/>
              </w:rPr>
              <w:t>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lang w:val="ru-RU"/>
              </w:rPr>
              <w:t>2</w:t>
            </w:r>
            <w:r>
              <w:rPr/>
              <w:t xml:space="preserve">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b/>
                <w:lang w:val="ru-RU"/>
              </w:rPr>
            </w:pPr>
            <w:r>
              <w:rPr>
                <w:b/>
                <w:lang w:val="ru-RU"/>
              </w:rPr>
              <w:t>5.5.</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b/>
                <w:bCs/>
                <w:lang w:val="ru-RU"/>
              </w:rPr>
            </w:pPr>
            <w:r>
              <w:rPr>
                <w:b/>
                <w:bCs/>
                <w:lang w:val="ru-RU"/>
              </w:rPr>
              <w:t>более 50 000 руб., но не более 600 000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lang w:val="ru-RU"/>
              </w:rPr>
            </w:pPr>
            <w:r>
              <w:rPr>
                <w:lang w:val="ru-RU"/>
              </w:rPr>
              <w:t>3 000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6</w:t>
            </w:r>
            <w:r>
              <w:rPr>
                <w:b/>
              </w:rPr>
              <w:t>.</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более 600 000 руб., но не более 1 400 000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7 000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7</w:t>
            </w:r>
            <w:r>
              <w:rPr>
                <w:b/>
              </w:rPr>
              <w:t>.</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более 1 400 000 руб., но не более 10 000 000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50 000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lang w:val="ru-RU"/>
              </w:rPr>
              <w:t>5</w:t>
            </w:r>
            <w:r>
              <w:rPr>
                <w:b/>
              </w:rPr>
              <w:t>.</w:t>
            </w:r>
            <w:r>
              <w:rPr>
                <w:b/>
                <w:lang w:val="ru-RU"/>
              </w:rPr>
              <w:t>8</w:t>
            </w:r>
            <w:r>
              <w:rPr>
                <w:b/>
              </w:rPr>
              <w:t>.</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более 10 000 000 руб., но не более 100 000 000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500 000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lang w:val="ru-RU"/>
              </w:rPr>
              <w:t>5</w:t>
            </w:r>
            <w:r>
              <w:rPr>
                <w:b/>
                <w:bCs/>
              </w:rPr>
              <w:t>.</w:t>
            </w:r>
            <w:r>
              <w:rPr>
                <w:b/>
                <w:bCs/>
                <w:lang w:val="ru-RU"/>
              </w:rPr>
              <w:t>9</w:t>
            </w:r>
            <w:r>
              <w:rPr>
                <w:b/>
                <w:bCs/>
              </w:rPr>
              <w:t>.</w:t>
            </w:r>
          </w:p>
        </w:tc>
        <w:tc>
          <w:tcPr>
            <w:tcW w:w="806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left"/>
              <w:rPr/>
            </w:pPr>
            <w:r>
              <w:rPr>
                <w:b/>
                <w:bCs/>
              </w:rPr>
              <w:t>более 100 000 000 руб.</w:t>
            </w:r>
          </w:p>
        </w:tc>
        <w:tc>
          <w:tcPr>
            <w:tcW w:w="157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1 500 000</w:t>
            </w:r>
          </w:p>
        </w:tc>
      </w:tr>
      <w:tr>
        <w:trPr>
          <w:trHeight w:val="2360"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6</w:t>
            </w:r>
            <w:r>
              <w:rPr>
                <w:b/>
                <w:bCs/>
              </w:rPr>
              <w:t>.</w:t>
            </w:r>
          </w:p>
        </w:tc>
        <w:tc>
          <w:tcPr>
            <w:tcW w:w="8060"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pPr>
            <w:r>
              <w:rPr>
                <w:rFonts w:eastAsia="Times New Roman"/>
                <w:b/>
                <w:sz w:val="20"/>
                <w:szCs w:val="24"/>
              </w:rPr>
              <w:t xml:space="preserve">Списание ценных бумаг с лицевого счета номинального держателя, </w:t>
            </w:r>
            <w:r>
              <w:rPr>
                <w:rFonts w:eastAsia="Times New Roman"/>
                <w:b w:val="false"/>
                <w:bCs/>
                <w:sz w:val="20"/>
                <w:szCs w:val="24"/>
              </w:rPr>
              <w:t xml:space="preserve">или лицевого счета номинального держателя центрального депозитария, или лицевого счета доверительного управляющего, или лицевого счета иностранного номинального держателя, или лицевого счета иностранного уполномоченного держателя, или лицевого счета иностранной организации, являющейся регистратором в соответствии с ее личным законом, </w:t>
            </w:r>
            <w:r>
              <w:rPr>
                <w:rFonts w:eastAsia="Times New Roman"/>
                <w:b/>
                <w:bCs w:val="false"/>
                <w:sz w:val="20"/>
                <w:szCs w:val="24"/>
              </w:rPr>
              <w:t>и их зачисление</w:t>
            </w:r>
            <w:r>
              <w:rPr>
                <w:rFonts w:eastAsia="Times New Roman"/>
                <w:b w:val="false"/>
                <w:bCs/>
                <w:sz w:val="20"/>
                <w:szCs w:val="24"/>
              </w:rPr>
              <w:t xml:space="preserve"> на лицевой счет владельца, или лицевой счет номинального держателя, 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eastAsia="Times New Roman"/>
                <w:b w:val="false"/>
                <w:bCs/>
                <w:sz w:val="20"/>
                <w:szCs w:val="24"/>
                <w:lang w:val="ru-RU"/>
              </w:rPr>
              <w:t xml:space="preserve">, </w:t>
            </w:r>
            <w:r>
              <w:rPr>
                <w:b w:val="false"/>
                <w:bCs/>
              </w:rPr>
              <w:t>в совокупности за обе операции</w:t>
            </w:r>
            <w:r>
              <w:rPr>
                <w:rFonts w:eastAsia="Times New Roman"/>
                <w:b w:val="false"/>
                <w:bCs/>
                <w:sz w:val="20"/>
                <w:szCs w:val="24"/>
              </w:rPr>
              <w:t>.</w:t>
            </w:r>
          </w:p>
        </w:tc>
        <w:tc>
          <w:tcPr>
            <w:tcW w:w="1572"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1</w:t>
            </w:r>
            <w:r>
              <w:rPr/>
              <w:t xml:space="preserve"> 000</w:t>
            </w:r>
          </w:p>
        </w:tc>
      </w:tr>
      <w:tr>
        <w:trPr>
          <w:trHeight w:val="1886"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7.</w:t>
            </w:r>
          </w:p>
        </w:tc>
        <w:tc>
          <w:tcPr>
            <w:tcW w:w="8060"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rFonts w:ascii="Times New Roman" w:hAnsi="Times New Roman" w:eastAsia="Times New Roman"/>
                <w:b w:val="false"/>
                <w:bCs/>
                <w:sz w:val="20"/>
                <w:szCs w:val="24"/>
              </w:rPr>
            </w:pPr>
            <w:r>
              <w:rPr>
                <w:rFonts w:eastAsia="Times New Roman"/>
                <w:b/>
                <w:sz w:val="20"/>
                <w:szCs w:val="24"/>
              </w:rPr>
              <w:t xml:space="preserve">Списание ценных бумаг с лицевого счета владельца и их зачисление на лицевой счет номинального держателя, </w:t>
            </w:r>
            <w:r>
              <w:rPr>
                <w:rFonts w:eastAsia="Times New Roman"/>
                <w:b w:val="false"/>
                <w:bCs/>
                <w:sz w:val="20"/>
                <w:szCs w:val="24"/>
              </w:rPr>
              <w:t>или лицевой счет номинального держателя центрального депозитария, или лицевой счет доверительного управляющего, если проведение таких операций не связано с переходом прав на ценные бумаги</w:t>
            </w:r>
            <w:r>
              <w:rPr>
                <w:rFonts w:eastAsia="Times New Roman"/>
                <w:b w:val="false"/>
                <w:bCs/>
                <w:sz w:val="20"/>
                <w:szCs w:val="24"/>
                <w:lang w:val="ru-RU"/>
              </w:rPr>
              <w:t xml:space="preserve">, </w:t>
            </w:r>
            <w:r>
              <w:rPr>
                <w:b w:val="false"/>
                <w:bCs/>
              </w:rPr>
              <w:t>в совокупности за обе операции</w:t>
            </w:r>
            <w:r>
              <w:rPr>
                <w:rFonts w:eastAsia="Times New Roman"/>
                <w:b w:val="false"/>
                <w:bCs/>
                <w:sz w:val="20"/>
                <w:szCs w:val="24"/>
              </w:rPr>
              <w:t>.</w:t>
            </w:r>
          </w:p>
          <w:p>
            <w:pPr>
              <w:pStyle w:val="Normal"/>
              <w:spacing w:before="0" w:after="0"/>
              <w:jc w:val="both"/>
              <w:rPr>
                <w:rFonts w:ascii="Times New Roman" w:hAnsi="Times New Roman" w:eastAsia="Times New Roman"/>
                <w:b w:val="false"/>
                <w:bCs/>
                <w:sz w:val="20"/>
                <w:szCs w:val="24"/>
              </w:rPr>
            </w:pPr>
            <w:r>
              <w:rPr>
                <w:rFonts w:eastAsia="Times New Roman"/>
                <w:b w:val="false"/>
                <w:bCs/>
                <w:sz w:val="20"/>
                <w:szCs w:val="24"/>
              </w:rPr>
            </w:r>
          </w:p>
        </w:tc>
        <w:tc>
          <w:tcPr>
            <w:tcW w:w="1572"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1</w:t>
            </w:r>
            <w:r>
              <w:rPr/>
              <w:t xml:space="preserve"> 000</w:t>
            </w:r>
          </w:p>
        </w:tc>
      </w:tr>
      <w:tr>
        <w:trPr>
          <w:trHeight w:val="3109"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8.</w:t>
            </w:r>
          </w:p>
        </w:tc>
        <w:tc>
          <w:tcPr>
            <w:tcW w:w="8060" w:type="dxa"/>
            <w:tcBorders>
              <w:left w:val="single" w:sz="6" w:space="0" w:color="000000"/>
              <w:bottom w:val="double" w:sz="6" w:space="0" w:color="000000"/>
              <w:right w:val="single" w:sz="6" w:space="0" w:color="000000"/>
            </w:tcBorders>
            <w:tcMar>
              <w:left w:w="71" w:type="dxa"/>
              <w:right w:w="71" w:type="dxa"/>
            </w:tcMar>
          </w:tcPr>
          <w:p>
            <w:pPr>
              <w:pStyle w:val="Normal"/>
              <w:spacing w:before="0" w:after="0"/>
              <w:jc w:val="both"/>
              <w:rPr>
                <w:rFonts w:ascii="Times New Roman" w:hAnsi="Times New Roman" w:eastAsia="Times New Roman"/>
                <w:b/>
                <w:sz w:val="20"/>
                <w:szCs w:val="24"/>
              </w:rPr>
            </w:pPr>
            <w:r>
              <w:rPr>
                <w:rFonts w:eastAsia="Times New Roman"/>
                <w:b/>
                <w:sz w:val="20"/>
                <w:szCs w:val="24"/>
              </w:rPr>
              <w:t xml:space="preserve">Списание ценных бумаг с лицевого счета и их зачисление на </w:t>
            </w:r>
            <w:r>
              <w:rPr>
                <w:rFonts w:eastAsia="Times New Roman"/>
                <w:b/>
                <w:sz w:val="20"/>
                <w:szCs w:val="24"/>
                <w:lang w:val="ru-RU"/>
              </w:rPr>
              <w:t xml:space="preserve">другой </w:t>
            </w:r>
            <w:r>
              <w:rPr>
                <w:rFonts w:eastAsia="Times New Roman"/>
                <w:b/>
                <w:sz w:val="20"/>
                <w:szCs w:val="24"/>
              </w:rPr>
              <w:t>лицевой счет в связи с переходом прав на ценные бумаги в порядке наследования</w:t>
            </w:r>
            <w:r>
              <w:rPr>
                <w:rFonts w:eastAsia="Times New Roman"/>
                <w:b/>
                <w:sz w:val="20"/>
                <w:szCs w:val="24"/>
                <w:lang w:val="ru-RU"/>
              </w:rPr>
              <w:t xml:space="preserve"> </w:t>
            </w:r>
            <w:r>
              <w:rPr>
                <w:rFonts w:eastAsia="Times New Roman"/>
                <w:b w:val="false"/>
                <w:bCs/>
                <w:sz w:val="20"/>
                <w:szCs w:val="24"/>
                <w:lang w:val="ru-RU"/>
              </w:rPr>
              <w:t xml:space="preserve">или по свидетельству о праве собственности на долю в общем имуществе супругов, </w:t>
            </w:r>
            <w:r>
              <w:rPr>
                <w:b w:val="false"/>
                <w:bCs/>
              </w:rPr>
              <w:t>в совокупности за операци</w:t>
            </w:r>
            <w:r>
              <w:rPr>
                <w:b w:val="false"/>
                <w:bCs/>
                <w:lang w:val="ru-RU"/>
              </w:rPr>
              <w:t>ю списания ценных бумаг с лицевого счета и зачисления ценных бумаг на другой лицевой счет</w:t>
            </w:r>
            <w:r>
              <w:rPr>
                <w:rStyle w:val="FootnoteReference"/>
                <w:b w:val="false"/>
                <w:bCs/>
                <w:lang w:val="ru-RU"/>
              </w:rPr>
              <w:footnoteReference w:id="4"/>
            </w:r>
            <w:r>
              <w:rPr>
                <w:rFonts w:eastAsia="Times New Roman"/>
                <w:b w:val="false"/>
                <w:bCs/>
                <w:sz w:val="20"/>
                <w:szCs w:val="24"/>
              </w:rPr>
              <w:t>.</w:t>
            </w:r>
          </w:p>
        </w:tc>
        <w:tc>
          <w:tcPr>
            <w:tcW w:w="1572" w:type="dxa"/>
            <w:tcBorders>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ascii="Times New Roman" w:hAnsi="Times New Roman" w:eastAsia="Times New Roman"/>
                <w:b w:val="false"/>
                <w:bCs/>
                <w:sz w:val="20"/>
                <w:szCs w:val="24"/>
                <w:lang w:val="ru-RU"/>
              </w:rPr>
            </w:pPr>
            <w:r>
              <w:rPr>
                <w:rFonts w:eastAsia="Times New Roman"/>
                <w:b w:val="false"/>
                <w:bCs/>
                <w:sz w:val="20"/>
                <w:szCs w:val="24"/>
              </w:rPr>
              <w:t xml:space="preserve">1 </w:t>
            </w:r>
            <w:r>
              <w:rPr>
                <w:rFonts w:eastAsia="Times New Roman"/>
                <w:b w:val="false"/>
                <w:bCs/>
                <w:sz w:val="20"/>
                <w:szCs w:val="24"/>
                <w:lang w:val="ru-RU"/>
              </w:rPr>
              <w:t>%</w:t>
            </w:r>
            <w:r>
              <w:rPr>
                <w:rFonts w:eastAsia="Times New Roman"/>
                <w:b w:val="false"/>
                <w:bCs/>
                <w:sz w:val="20"/>
                <w:szCs w:val="24"/>
              </w:rPr>
              <w:t xml:space="preserve"> от стоимости  ценных бумаг, в отношении которых проводится операция списания с лицевого счета</w:t>
            </w:r>
            <w:r>
              <w:rPr>
                <w:rFonts w:eastAsia="Times New Roman"/>
                <w:b w:val="false"/>
                <w:bCs/>
                <w:sz w:val="20"/>
                <w:szCs w:val="24"/>
                <w:lang w:val="ru-RU"/>
              </w:rPr>
              <w:t>,</w:t>
            </w:r>
          </w:p>
          <w:p>
            <w:pPr>
              <w:pStyle w:val="Normal"/>
              <w:spacing w:before="0" w:after="0"/>
              <w:jc w:val="center"/>
              <w:rPr>
                <w:lang w:val="ru-RU"/>
              </w:rPr>
            </w:pPr>
            <w:r>
              <w:rPr>
                <w:rFonts w:eastAsia="Times New Roman"/>
                <w:sz w:val="20"/>
                <w:szCs w:val="24"/>
              </w:rPr>
              <w:t>но не менее 100 руб</w:t>
            </w:r>
            <w:r>
              <w:rPr>
                <w:rFonts w:eastAsia="Times New Roman"/>
                <w:sz w:val="20"/>
                <w:szCs w:val="24"/>
                <w:lang w:val="ru-RU"/>
              </w:rPr>
              <w:t>.</w:t>
            </w:r>
            <w:r>
              <w:rPr>
                <w:rFonts w:eastAsia="Times New Roman"/>
                <w:sz w:val="20"/>
                <w:szCs w:val="24"/>
              </w:rPr>
              <w:t>и не более 100 000 руб</w:t>
            </w:r>
            <w:r>
              <w:rPr>
                <w:rFonts w:eastAsia="Times New Roman"/>
                <w:sz w:val="20"/>
                <w:szCs w:val="24"/>
                <w:lang w:val="ru-RU"/>
              </w:rPr>
              <w:t>.</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lang w:val="en-US"/>
              </w:rPr>
            </w:pPr>
            <w:r>
              <w:rPr>
                <w:b/>
                <w:bCs/>
                <w:lang w:val="ru-RU"/>
              </w:rPr>
              <w:t>9</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обременении (прекращении обременения) ценных бумаг</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3 0</w:t>
            </w:r>
            <w:r>
              <w:rPr/>
              <w:t>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10</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3 0</w:t>
            </w:r>
            <w:r>
              <w:rPr/>
              <w:t>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11</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lang w:val="ru-RU"/>
              </w:rPr>
              <w:t>6</w:t>
            </w:r>
            <w:r>
              <w:rPr/>
              <w:t>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lang w:val="ru-RU"/>
              </w:rPr>
              <w:t>12</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rPr/>
              <w:t>в совокупности за обе операции</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3 000</w:t>
            </w:r>
          </w:p>
        </w:tc>
      </w:tr>
      <w:tr>
        <w:trPr/>
        <w:tc>
          <w:tcPr>
            <w:tcW w:w="10277" w:type="dxa"/>
            <w:gridSpan w:val="3"/>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highlight w:val="yellow"/>
                <w:lang w:val="ru-RU"/>
              </w:rPr>
            </w:pPr>
            <w:r>
              <w:rPr>
                <w:b/>
                <w:bCs/>
                <w:lang w:val="ru-RU"/>
              </w:rPr>
              <w:t>Предоставление информации из реестра</w:t>
            </w:r>
          </w:p>
        </w:tc>
      </w:tr>
      <w:tr>
        <w:trPr>
          <w:trHeight w:val="769" w:hRule="atLeast"/>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3</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left"/>
              <w:rPr>
                <w:rFonts w:ascii="Times New Roman" w:hAnsi="Times New Roman"/>
                <w:b/>
                <w:bCs/>
              </w:rPr>
            </w:pPr>
            <w:r>
              <w:rPr>
                <w:b/>
                <w:bCs/>
              </w:rPr>
              <w:t>Предоставление выписки из реестра</w:t>
            </w:r>
          </w:p>
          <w:p>
            <w:pPr>
              <w:pStyle w:val="Normal"/>
              <w:bidi w:val="0"/>
              <w:ind w:hanging="0" w:left="0" w:right="0"/>
              <w:jc w:val="left"/>
              <w:rPr>
                <w:rFonts w:ascii="Times New Roman" w:hAnsi="Times New Roman"/>
                <w:bCs/>
              </w:rPr>
            </w:pPr>
            <w:r>
              <w:rPr>
                <w:bCs/>
              </w:rPr>
              <w:t>на бумажном носителе</w:t>
            </w:r>
          </w:p>
          <w:p>
            <w:pPr>
              <w:pStyle w:val="Normal"/>
              <w:bidi w:val="0"/>
              <w:ind w:hanging="0" w:left="0" w:right="0"/>
              <w:jc w:val="left"/>
              <w:rPr/>
            </w:pPr>
            <w:r>
              <w:rPr>
                <w:bCs/>
              </w:rPr>
              <w:t>в форме электронного документа</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350</w:t>
            </w:r>
          </w:p>
          <w:p>
            <w:pPr>
              <w:pStyle w:val="Normal"/>
              <w:bidi w:val="0"/>
              <w:ind w:hanging="0" w:left="0" w:right="0"/>
              <w:jc w:val="right"/>
              <w:rPr>
                <w:rFonts w:ascii="Times New Roman" w:hAnsi="Times New Roman"/>
                <w:lang w:val="ru-RU"/>
              </w:rPr>
            </w:pPr>
            <w:r>
              <w:rPr>
                <w:lang w:val="ru-RU"/>
              </w:rPr>
              <w:t>175</w:t>
            </w:r>
          </w:p>
          <w:p>
            <w:pPr>
              <w:pStyle w:val="Normal"/>
              <w:bidi w:val="0"/>
              <w:ind w:hanging="0" w:left="0" w:right="0"/>
              <w:jc w:val="right"/>
              <w:rPr/>
            </w:pPr>
            <w:r>
              <w:rPr/>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4</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left"/>
              <w:rPr/>
            </w:pPr>
            <w:r>
              <w:rPr>
                <w:b/>
                <w:bCs/>
              </w:rPr>
              <w:t>Предоставление выписки из реестра при размещении ценных бумаг</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5</w:t>
            </w:r>
            <w:r>
              <w:rPr>
                <w:b/>
                <w:bCs/>
              </w:rPr>
              <w:t>.</w:t>
            </w:r>
          </w:p>
        </w:tc>
        <w:tc>
          <w:tcPr>
            <w:tcW w:w="806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left"/>
              <w:rPr>
                <w:bCs/>
              </w:rPr>
            </w:pPr>
            <w:r>
              <w:rPr>
                <w:b/>
                <w:bCs/>
              </w:rPr>
              <w:t xml:space="preserve">Предоставление справки о наличии на </w:t>
            </w:r>
            <w:r>
              <w:rPr>
                <w:b/>
                <w:bCs/>
                <w:lang w:val="ru-RU"/>
              </w:rPr>
              <w:t xml:space="preserve">лицевом </w:t>
            </w:r>
            <w:r>
              <w:rPr>
                <w:b/>
                <w:bCs/>
              </w:rPr>
              <w:t xml:space="preserve">счете </w:t>
            </w:r>
            <w:r>
              <w:rPr>
                <w:b/>
                <w:bCs/>
                <w:lang w:val="ru-RU"/>
              </w:rPr>
              <w:t>определённого</w:t>
            </w:r>
            <w:r>
              <w:rPr>
                <w:b/>
                <w:bCs/>
              </w:rPr>
              <w:t xml:space="preserve"> количества ценных бумаг</w:t>
            </w:r>
          </w:p>
          <w:p>
            <w:pPr>
              <w:pStyle w:val="Normal"/>
              <w:bidi w:val="0"/>
              <w:ind w:hanging="0" w:left="0" w:right="0"/>
              <w:jc w:val="left"/>
              <w:rPr>
                <w:rFonts w:ascii="Times New Roman" w:hAnsi="Times New Roman"/>
                <w:bCs/>
              </w:rPr>
            </w:pPr>
            <w:r>
              <w:rPr>
                <w:bCs/>
              </w:rPr>
              <w:t>на бумажном носителе</w:t>
            </w:r>
          </w:p>
          <w:p>
            <w:pPr>
              <w:pStyle w:val="Normal"/>
              <w:bidi w:val="0"/>
              <w:ind w:hanging="0" w:left="0" w:right="0"/>
              <w:jc w:val="both"/>
              <w:rPr/>
            </w:pPr>
            <w:r>
              <w:rPr>
                <w:bCs/>
              </w:rPr>
              <w:t>в форме электронного документа</w:t>
            </w:r>
          </w:p>
        </w:tc>
        <w:tc>
          <w:tcPr>
            <w:tcW w:w="157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lang w:val="ru-RU"/>
              </w:rPr>
            </w:pPr>
            <w:r>
              <w:rPr>
                <w:lang w:val="ru-RU"/>
              </w:rPr>
              <w:t>350</w:t>
            </w:r>
          </w:p>
          <w:p>
            <w:pPr>
              <w:pStyle w:val="Normal"/>
              <w:bidi w:val="0"/>
              <w:ind w:hanging="0" w:left="0" w:right="0"/>
              <w:jc w:val="right"/>
              <w:rPr/>
            </w:pPr>
            <w:r>
              <w:rPr/>
              <w:t>1</w:t>
            </w:r>
            <w:r>
              <w:rPr>
                <w:lang w:val="ru-RU"/>
              </w:rPr>
              <w:t>7</w:t>
            </w:r>
            <w:r>
              <w:rPr/>
              <w:t>5</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6</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left"/>
              <w:rPr>
                <w:b/>
                <w:bCs/>
              </w:rPr>
            </w:pPr>
            <w:r>
              <w:rPr>
                <w:b/>
                <w:bCs/>
              </w:rPr>
              <w:t xml:space="preserve">Предоставление </w:t>
            </w:r>
            <w:r>
              <w:rPr>
                <w:b/>
                <w:bCs/>
                <w:lang w:val="ru-RU"/>
              </w:rPr>
              <w:t>отчета</w:t>
            </w:r>
            <w:r>
              <w:rPr>
                <w:b/>
                <w:bCs/>
              </w:rPr>
              <w:t xml:space="preserve"> (</w:t>
            </w:r>
            <w:r>
              <w:rPr>
                <w:b/>
                <w:bCs/>
                <w:lang w:val="ru-RU"/>
              </w:rPr>
              <w:t>справки</w:t>
            </w:r>
            <w:r>
              <w:rPr>
                <w:b/>
                <w:bCs/>
              </w:rPr>
              <w:t>) об операциях, совершенных  по лицевому счету</w:t>
            </w:r>
            <w:r>
              <w:rPr>
                <w:b/>
                <w:bCs/>
                <w:lang w:val="ru-RU"/>
              </w:rPr>
              <w:t>:</w:t>
            </w:r>
          </w:p>
          <w:p>
            <w:pPr>
              <w:pStyle w:val="Normal"/>
              <w:bidi w:val="0"/>
              <w:ind w:hanging="0" w:left="0" w:right="0"/>
              <w:jc w:val="left"/>
              <w:rPr>
                <w:rFonts w:ascii="Times New Roman" w:hAnsi="Times New Roman"/>
                <w:bCs/>
              </w:rPr>
            </w:pPr>
            <w:r>
              <w:rPr>
                <w:bCs/>
              </w:rPr>
              <w:t>на бумажном носителе</w:t>
            </w:r>
          </w:p>
          <w:p>
            <w:pPr>
              <w:pStyle w:val="Normal"/>
              <w:bidi w:val="0"/>
              <w:ind w:hanging="0" w:left="0" w:right="0"/>
              <w:jc w:val="left"/>
              <w:rPr>
                <w:rFonts w:ascii="Times New Roman" w:hAnsi="Times New Roman"/>
                <w:bCs/>
              </w:rPr>
            </w:pPr>
            <w:r>
              <w:rPr>
                <w:bCs/>
              </w:rPr>
            </w:r>
          </w:p>
          <w:p>
            <w:pPr>
              <w:pStyle w:val="Normal"/>
              <w:bidi w:val="0"/>
              <w:ind w:hanging="0" w:left="0" w:right="0"/>
              <w:jc w:val="left"/>
              <w:rPr>
                <w:rFonts w:ascii="Times New Roman" w:hAnsi="Times New Roman"/>
                <w:bCs/>
              </w:rPr>
            </w:pPr>
            <w:r>
              <w:rPr>
                <w:bCs/>
              </w:rPr>
            </w:r>
          </w:p>
          <w:p>
            <w:pPr>
              <w:pStyle w:val="Normal"/>
              <w:bidi w:val="0"/>
              <w:ind w:hanging="0" w:left="0" w:right="0"/>
              <w:jc w:val="left"/>
              <w:rPr>
                <w:rFonts w:ascii="Times New Roman" w:hAnsi="Times New Roman"/>
                <w:bCs/>
              </w:rPr>
            </w:pPr>
            <w:r>
              <w:rPr>
                <w:bCs/>
              </w:rPr>
            </w:r>
          </w:p>
          <w:p>
            <w:pPr>
              <w:pStyle w:val="Normal"/>
              <w:bidi w:val="0"/>
              <w:ind w:hanging="0" w:left="0" w:right="0"/>
              <w:jc w:val="left"/>
              <w:rPr>
                <w:rFonts w:ascii="Times New Roman" w:hAnsi="Times New Roman"/>
                <w:bCs/>
              </w:rPr>
            </w:pPr>
            <w:r>
              <w:rPr>
                <w:bCs/>
              </w:rPr>
            </w:r>
          </w:p>
          <w:p>
            <w:pPr>
              <w:pStyle w:val="Normal"/>
              <w:bidi w:val="0"/>
              <w:ind w:hanging="0" w:left="0" w:right="0"/>
              <w:jc w:val="left"/>
              <w:rPr>
                <w:rFonts w:ascii="Times New Roman" w:hAnsi="Times New Roman"/>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rFonts w:ascii="Times New Roman" w:hAnsi="Times New Roman"/>
                <w:bCs/>
              </w:rPr>
            </w:pPr>
            <w:r>
              <w:rPr>
                <w:bCs/>
              </w:rPr>
              <w:t>в форме электронного документа</w:t>
            </w:r>
          </w:p>
          <w:p>
            <w:pPr>
              <w:pStyle w:val="Normal"/>
              <w:bidi w:val="0"/>
              <w:ind w:hanging="0" w:left="0" w:right="0"/>
              <w:jc w:val="left"/>
              <w:rPr>
                <w:bCs/>
              </w:rPr>
            </w:pPr>
            <w:r>
              <w:rPr>
                <w:bCs/>
              </w:rPr>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16"/>
                <w:szCs w:val="16"/>
              </w:rPr>
            </w:pPr>
            <w:r>
              <w:rPr>
                <w:rFonts w:eastAsia="Times New Roman"/>
                <w:sz w:val="20"/>
                <w:szCs w:val="24"/>
                <w:lang w:val="ru-RU"/>
              </w:rPr>
              <w:t>350+70*(</w:t>
            </w:r>
            <w:r>
              <w:rPr>
                <w:rFonts w:eastAsia="Times New Roman"/>
                <w:sz w:val="20"/>
                <w:szCs w:val="24"/>
                <w:lang w:val="en-US"/>
              </w:rPr>
              <w:t>n-1</w:t>
            </w:r>
            <w:r>
              <w:rPr>
                <w:rFonts w:eastAsia="Times New Roman"/>
                <w:sz w:val="20"/>
                <w:szCs w:val="24"/>
                <w:lang w:val="ru-RU"/>
              </w:rPr>
              <w:t>)</w:t>
            </w:r>
            <w:r>
              <w:rPr>
                <w:rFonts w:eastAsia="Times New Roman"/>
                <w:sz w:val="20"/>
                <w:szCs w:val="24"/>
              </w:rPr>
              <w:t xml:space="preserve">, но не более 3550, </w:t>
            </w:r>
            <w:r>
              <w:rPr>
                <w:rFonts w:eastAsia="Times New Roman"/>
                <w:sz w:val="16"/>
                <w:szCs w:val="16"/>
              </w:rPr>
              <w:t>где n - количество операций по лицевому счету зарег</w:t>
            </w:r>
            <w:r>
              <w:rPr>
                <w:rFonts w:eastAsia="Times New Roman"/>
                <w:sz w:val="16"/>
                <w:szCs w:val="16"/>
                <w:lang w:val="ru-RU"/>
              </w:rPr>
              <w:t xml:space="preserve">. </w:t>
            </w:r>
            <w:r>
              <w:rPr>
                <w:rFonts w:eastAsia="Times New Roman"/>
                <w:sz w:val="16"/>
                <w:szCs w:val="16"/>
              </w:rPr>
              <w:t>лица, в отношении которых предоставляется информация</w:t>
            </w:r>
          </w:p>
          <w:p>
            <w:pPr>
              <w:pStyle w:val="Normal"/>
              <w:spacing w:before="0" w:after="0"/>
              <w:jc w:val="center"/>
              <w:rPr>
                <w:rFonts w:ascii="Times New Roman" w:hAnsi="Times New Roman" w:eastAsia="Times New Roman"/>
                <w:sz w:val="16"/>
                <w:szCs w:val="16"/>
              </w:rPr>
            </w:pPr>
            <w:r>
              <w:rPr>
                <w:rFonts w:eastAsia="Times New Roman"/>
                <w:sz w:val="16"/>
                <w:szCs w:val="16"/>
              </w:rPr>
              <w:t>из реестра, но не менее 1</w:t>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(350+70*(</w:t>
            </w:r>
            <w:r>
              <w:rPr>
                <w:rFonts w:eastAsia="Times New Roman"/>
                <w:sz w:val="20"/>
                <w:szCs w:val="24"/>
                <w:lang w:val="en-US"/>
              </w:rPr>
              <w:t>n-1</w:t>
            </w:r>
            <w:r>
              <w:rPr>
                <w:rFonts w:eastAsia="Times New Roman"/>
                <w:sz w:val="20"/>
                <w:szCs w:val="24"/>
                <w:lang w:val="ru-RU"/>
              </w:rPr>
              <w:t>))*0,5</w:t>
            </w:r>
            <w:r>
              <w:rPr>
                <w:rFonts w:eastAsia="Times New Roman"/>
                <w:sz w:val="20"/>
                <w:szCs w:val="24"/>
              </w:rPr>
              <w:t xml:space="preserve">, но не более </w:t>
            </w:r>
            <w:r>
              <w:rPr>
                <w:rFonts w:eastAsia="Times New Roman"/>
                <w:sz w:val="20"/>
                <w:szCs w:val="24"/>
                <w:lang w:val="ru-RU"/>
              </w:rPr>
              <w:t>1 775</w:t>
            </w:r>
            <w:r>
              <w:rPr>
                <w:rFonts w:eastAsia="Times New Roman"/>
                <w:sz w:val="20"/>
                <w:szCs w:val="24"/>
              </w:rPr>
              <w:t>,</w:t>
            </w:r>
          </w:p>
          <w:p>
            <w:pPr>
              <w:pStyle w:val="Normal"/>
              <w:spacing w:before="0" w:after="0"/>
              <w:jc w:val="center"/>
              <w:rPr>
                <w:rFonts w:ascii="Times New Roman" w:hAnsi="Times New Roman" w:eastAsia="Times New Roman"/>
                <w:sz w:val="16"/>
                <w:szCs w:val="16"/>
              </w:rPr>
            </w:pPr>
            <w:r>
              <w:rPr>
                <w:rFonts w:eastAsia="Times New Roman"/>
                <w:sz w:val="16"/>
                <w:szCs w:val="16"/>
              </w:rPr>
              <w:t>где n - количество операций по лицевому счету зарег</w:t>
            </w:r>
            <w:r>
              <w:rPr>
                <w:rFonts w:eastAsia="Times New Roman"/>
                <w:sz w:val="16"/>
                <w:szCs w:val="16"/>
                <w:lang w:val="ru-RU"/>
              </w:rPr>
              <w:t xml:space="preserve">. </w:t>
            </w:r>
            <w:r>
              <w:rPr>
                <w:rFonts w:eastAsia="Times New Roman"/>
                <w:sz w:val="16"/>
                <w:szCs w:val="16"/>
              </w:rPr>
              <w:t>лица, в отношении которых предоставляется информация</w:t>
            </w:r>
          </w:p>
          <w:p>
            <w:pPr>
              <w:pStyle w:val="Normal"/>
              <w:spacing w:before="0" w:after="0"/>
              <w:jc w:val="center"/>
              <w:rPr/>
            </w:pPr>
            <w:r>
              <w:rPr>
                <w:rFonts w:eastAsia="Times New Roman"/>
                <w:sz w:val="16"/>
                <w:szCs w:val="16"/>
              </w:rPr>
              <w:t>из реестра, но не менее 1</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highlight w:val="none"/>
              </w:rPr>
            </w:pPr>
            <w:r>
              <w:rPr>
                <w:b/>
                <w:bCs/>
              </w:rPr>
              <w:t>1</w:t>
            </w:r>
            <w:r>
              <w:rPr>
                <w:b/>
                <w:bCs/>
                <w:lang w:val="ru-RU"/>
              </w:rPr>
              <w:t>7</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left"/>
              <w:rPr>
                <w:b/>
                <w:bCs/>
                <w:highlight w:val="none"/>
                <w:lang w:val="ru-RU"/>
              </w:rPr>
            </w:pPr>
            <w:r>
              <w:rPr>
                <w:b/>
                <w:bCs/>
              </w:rPr>
              <w:t xml:space="preserve">Предоставление уведомления (отчета) о </w:t>
            </w:r>
            <w:r>
              <w:rPr>
                <w:b/>
                <w:bCs/>
                <w:lang w:val="ru-RU"/>
              </w:rPr>
              <w:t xml:space="preserve">совершении </w:t>
            </w:r>
            <w:r>
              <w:rPr>
                <w:b/>
                <w:bCs/>
              </w:rPr>
              <w:t xml:space="preserve">операции </w:t>
            </w:r>
            <w:r>
              <w:rPr>
                <w:b/>
                <w:bCs/>
                <w:lang w:val="ru-RU"/>
              </w:rPr>
              <w:t>по лицевому счету</w:t>
            </w:r>
          </w:p>
          <w:p>
            <w:pPr>
              <w:pStyle w:val="Normal"/>
              <w:bidi w:val="0"/>
              <w:ind w:hanging="0" w:left="0" w:right="0"/>
              <w:jc w:val="both"/>
              <w:rPr>
                <w:b/>
                <w:bCs/>
                <w:highlight w:val="none"/>
                <w:lang w:val="ru-RU"/>
              </w:rPr>
            </w:pPr>
            <w:r>
              <w:rPr>
                <w:b w:val="false"/>
                <w:bCs w:val="false"/>
                <w:lang w:val="ru-RU"/>
              </w:rPr>
              <w:t>на бумажном носителе</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highlight w:val="yellow"/>
                <w:lang w:val="ru-RU"/>
              </w:rPr>
            </w:pPr>
            <w:r>
              <w:rPr>
                <w:lang w:val="ru-RU"/>
              </w:rPr>
              <w:t>350</w:t>
            </w:r>
          </w:p>
          <w:p>
            <w:pPr>
              <w:pStyle w:val="Normal"/>
              <w:bidi w:val="0"/>
              <w:ind w:hanging="0" w:left="0" w:right="0"/>
              <w:jc w:val="right"/>
              <w:rPr>
                <w:highlight w:val="yellow"/>
              </w:rPr>
            </w:pPr>
            <w:r>
              <w:rPr>
                <w:highlight w:val="yellow"/>
              </w:rPr>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8</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w:t>
            </w:r>
            <w:r>
              <w:rPr>
                <w:b/>
                <w:bCs/>
                <w:lang w:val="ru-RU"/>
              </w:rPr>
              <w:t>9</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b/>
                <w:bCs/>
              </w:rPr>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p>
            <w:pPr>
              <w:pStyle w:val="Normal"/>
              <w:bidi w:val="0"/>
              <w:ind w:hanging="0" w:left="0" w:right="0"/>
              <w:jc w:val="left"/>
              <w:rPr>
                <w:rFonts w:ascii="Times New Roman" w:hAnsi="Times New Roman"/>
                <w:bCs/>
              </w:rPr>
            </w:pPr>
            <w:r>
              <w:rPr>
                <w:bCs/>
              </w:rPr>
              <w:t>на бумажном носителе</w:t>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bCs/>
              </w:rPr>
            </w:pPr>
            <w:r>
              <w:rPr>
                <w:bCs/>
              </w:rPr>
            </w:r>
          </w:p>
          <w:p>
            <w:pPr>
              <w:pStyle w:val="Normal"/>
              <w:bidi w:val="0"/>
              <w:ind w:hanging="0" w:left="0" w:right="0"/>
              <w:jc w:val="both"/>
              <w:rPr>
                <w:rFonts w:ascii="Times New Roman" w:hAnsi="Times New Roman"/>
                <w:bCs/>
              </w:rPr>
            </w:pPr>
            <w:r>
              <w:rPr>
                <w:bCs/>
              </w:rPr>
              <w:t>в форме электронного документа</w:t>
            </w:r>
          </w:p>
          <w:p>
            <w:pPr>
              <w:pStyle w:val="Normal"/>
              <w:bidi w:val="0"/>
              <w:ind w:hanging="0" w:left="0" w:right="0"/>
              <w:jc w:val="both"/>
              <w:rPr>
                <w:b/>
                <w:bCs/>
              </w:rPr>
            </w:pPr>
            <w:r>
              <w:rPr>
                <w:b/>
                <w:bCs/>
              </w:rPr>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eastAsia="Times New Roman"/>
                <w:sz w:val="20"/>
                <w:szCs w:val="24"/>
                <w:lang w:val="ru-RU"/>
              </w:rPr>
            </w:pPr>
            <w:r>
              <w:rPr>
                <w:rFonts w:eastAsia="Times New Roman"/>
                <w:sz w:val="20"/>
                <w:szCs w:val="24"/>
                <w:lang w:val="ru-RU"/>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10 000 + 1,25*(</w:t>
            </w:r>
            <w:r>
              <w:rPr>
                <w:rFonts w:eastAsia="Times New Roman"/>
                <w:sz w:val="20"/>
                <w:szCs w:val="24"/>
                <w:lang w:val="en-US"/>
              </w:rPr>
              <w:t>n-1</w:t>
            </w:r>
            <w:r>
              <w:rPr>
                <w:rFonts w:eastAsia="Times New Roman"/>
                <w:sz w:val="20"/>
                <w:szCs w:val="24"/>
                <w:lang w:val="ru-RU"/>
              </w:rPr>
              <w:t>)</w:t>
            </w:r>
            <w:r>
              <w:rPr>
                <w:rFonts w:eastAsia="Times New Roman"/>
                <w:sz w:val="20"/>
                <w:szCs w:val="24"/>
              </w:rPr>
              <w:t>,</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t>где n - количество зарегистрированных лиц, в отношении которых предоставляется информация из реестра</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r>
          </w:p>
          <w:p>
            <w:pPr>
              <w:pStyle w:val="Normal"/>
              <w:spacing w:before="0" w:after="0"/>
              <w:jc w:val="center"/>
              <w:rPr>
                <w:rFonts w:ascii="Times New Roman" w:hAnsi="Times New Roman" w:eastAsia="Times New Roman"/>
                <w:sz w:val="20"/>
                <w:szCs w:val="24"/>
              </w:rPr>
            </w:pPr>
            <w:r>
              <w:rPr>
                <w:rFonts w:eastAsia="Times New Roman"/>
                <w:sz w:val="20"/>
                <w:szCs w:val="24"/>
                <w:lang w:val="ru-RU"/>
              </w:rPr>
              <w:t>(10 000 + 1,25*(</w:t>
            </w:r>
            <w:r>
              <w:rPr>
                <w:rFonts w:eastAsia="Times New Roman"/>
                <w:sz w:val="20"/>
                <w:szCs w:val="24"/>
                <w:lang w:val="en-US"/>
              </w:rPr>
              <w:t>n-1</w:t>
            </w:r>
            <w:r>
              <w:rPr>
                <w:rFonts w:eastAsia="Times New Roman"/>
                <w:sz w:val="20"/>
                <w:szCs w:val="24"/>
                <w:lang w:val="ru-RU"/>
              </w:rPr>
              <w:t>))* 0,5</w:t>
            </w:r>
            <w:r>
              <w:rPr>
                <w:rFonts w:eastAsia="Times New Roman"/>
                <w:sz w:val="20"/>
                <w:szCs w:val="24"/>
              </w:rPr>
              <w:t>,</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t>где n - количество зарегистрированных лиц, в отношении которых предоставляется информация из реестра</w:t>
            </w:r>
          </w:p>
          <w:p>
            <w:pPr>
              <w:pStyle w:val="Normal"/>
              <w:spacing w:before="0" w:after="0"/>
              <w:jc w:val="center"/>
              <w:rPr>
                <w:rFonts w:ascii="Times New Roman" w:hAnsi="Times New Roman" w:eastAsia="Times New Roman"/>
                <w:b w:val="false"/>
                <w:bCs/>
                <w:sz w:val="16"/>
                <w:szCs w:val="16"/>
              </w:rPr>
            </w:pPr>
            <w:r>
              <w:rPr>
                <w:rFonts w:eastAsia="Times New Roman"/>
                <w:b w:val="false"/>
                <w:bCs/>
                <w:sz w:val="16"/>
                <w:szCs w:val="16"/>
              </w:rPr>
            </w:r>
          </w:p>
          <w:p>
            <w:pPr>
              <w:pStyle w:val="Normal"/>
              <w:bidi w:val="0"/>
              <w:ind w:hanging="0" w:left="0" w:right="0"/>
              <w:jc w:val="right"/>
              <w:rPr/>
            </w:pPr>
            <w:r>
              <w:rPr/>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20.</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lang w:val="ru-RU"/>
              </w:rPr>
            </w:pPr>
            <w:r>
              <w:rPr>
                <w:b/>
                <w:bCs/>
                <w:lang w:val="ru-RU"/>
              </w:rPr>
              <w:t>Предоставление информации в соответствии с требованиями пунктов 7.1.,7.2.,7.7.,7.8. Положения Банка России от 29.06.2022 № 799-П</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lang w:val="ru-RU"/>
              </w:rPr>
            </w:pPr>
            <w:r>
              <w:rPr>
                <w:b/>
                <w:bCs/>
                <w:lang w:val="ru-RU"/>
              </w:rPr>
              <w:t>21.</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lang w:val="ru-RU"/>
              </w:rPr>
            </w:pPr>
            <w:r>
              <w:rPr>
                <w:b/>
                <w:bCs/>
                <w:lang w:val="ru-RU"/>
              </w:rPr>
              <w:t>Предоставление залогодержателю информации о правах залога на ценные бумаги, зафиксированных в его пользу</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lang w:val="ru-RU"/>
              </w:rPr>
            </w:pPr>
            <w:r>
              <w:rPr>
                <w:lang w:val="ru-RU"/>
              </w:rPr>
              <w:t>1000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2</w:t>
            </w:r>
            <w:r>
              <w:rPr>
                <w:b/>
                <w:bCs/>
                <w:lang w:val="ru-RU"/>
              </w:rPr>
              <w:t>2</w:t>
            </w:r>
            <w:r>
              <w:rPr>
                <w:b/>
                <w:bCs/>
              </w:rPr>
              <w:t>.</w:t>
            </w:r>
          </w:p>
        </w:tc>
        <w:tc>
          <w:tcPr>
            <w:tcW w:w="806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Default"/>
              <w:bidi w:val="0"/>
              <w:ind w:hanging="0" w:left="0" w:right="0"/>
              <w:jc w:val="both"/>
              <w:rPr/>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7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color w:val="000000"/>
                <w:sz w:val="20"/>
                <w:szCs w:val="20"/>
              </w:rPr>
              <w:t>500</w:t>
            </w:r>
          </w:p>
        </w:tc>
      </w:tr>
    </w:tbl>
    <w:p>
      <w:pPr>
        <w:pStyle w:val="Normal"/>
        <w:bidi w:val="0"/>
        <w:ind w:firstLine="708" w:left="0" w:right="0"/>
        <w:jc w:val="both"/>
        <w:rPr>
          <w:bCs/>
          <w:lang w:val="ru-RU"/>
        </w:rPr>
      </w:pPr>
      <w:r>
        <w:rPr>
          <w:bCs/>
          <w:lang w:val="ru-RU"/>
        </w:rPr>
        <w:t>Держатель реестра один раз в календарный год (период времени с 1 января по 31 декабря)</w:t>
      </w:r>
      <w:r>
        <w:rPr>
          <w:rFonts w:eastAsia="SimSun" w:cs="SimSun" w:ascii="SimSun" w:hAnsi="SimSun"/>
          <w:sz w:val="24"/>
          <w:szCs w:val="24"/>
        </w:rPr>
        <w:t xml:space="preserve"> </w:t>
      </w:r>
      <w:r>
        <w:rPr>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pPr>
        <w:pStyle w:val="Normal"/>
        <w:bidi w:val="0"/>
        <w:ind w:firstLine="708" w:left="0" w:right="0"/>
        <w:jc w:val="both"/>
        <w:rPr>
          <w:rFonts w:ascii="Times New Roman" w:hAnsi="Times New Roman"/>
          <w:bCs/>
        </w:rPr>
      </w:pPr>
      <w:r>
        <w:rPr>
          <w:bCs/>
        </w:rPr>
        <w:t xml:space="preserve">Прочие услуги, оказываемые  регистратором в соответствии с лицензией, предоставляются за плату, установленную по соглашению сторон.  </w:t>
      </w:r>
    </w:p>
    <w:p>
      <w:pPr>
        <w:pStyle w:val="Normal"/>
        <w:bidi w:val="0"/>
        <w:ind w:firstLine="708" w:left="0" w:right="0"/>
        <w:jc w:val="both"/>
        <w:rPr>
          <w:rFonts w:ascii="Times New Roman" w:hAnsi="Times New Roman"/>
          <w:bCs/>
        </w:rPr>
      </w:pPr>
      <w:r>
        <w:rPr>
          <w:bCs/>
        </w:rPr>
        <w:t>Услуга оказывается регистратором после оплаты заинтересованным лицом  стоимости услуги в соответствии с настоящим Прейскурантом.</w:t>
      </w:r>
    </w:p>
    <w:sectPr>
      <w:footerReference w:type="default" r:id="rId2"/>
      <w:footnotePr>
        <w:numFmt w:val="decimal"/>
      </w:footnotePr>
      <w:type w:val="nextPage"/>
      <w:pgSz w:w="11906" w:h="16838"/>
      <w:pgMar w:left="1134" w:right="454" w:gutter="0" w:header="0" w:top="357" w:footer="318" w:bottom="8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Calibri">
    <w:charset w:val="cc"/>
    <w:family w:val="roman"/>
    <w:pitch w:val="variable"/>
  </w:font>
  <w:font w:name="SimSu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EndnoteText"/>
        <w:snapToGrid w:val="false"/>
        <w:rPr/>
      </w:pPr>
      <w:r>
        <w:rPr>
          <w:rStyle w:val="Style14"/>
        </w:rPr>
        <w:footnoteRef/>
      </w:r>
      <w:r>
        <w:rPr/>
        <w:t xml:space="preserve"> </w:t>
      </w:r>
      <w:r>
        <w:rPr>
          <w:bCs/>
        </w:rPr>
        <w:t>НДС не облагается согласно ст. 149 Налогового кодекса Российской Федерации</w:t>
      </w:r>
    </w:p>
  </w:footnote>
  <w:footnote w:id="3">
    <w:p>
      <w:pPr>
        <w:pStyle w:val="Normal"/>
        <w:keepNext w:val="false"/>
        <w:keepLines w:val="false"/>
        <w:widowControl/>
        <w:spacing w:lineRule="auto" w:line="240" w:beforeAutospacing="0" w:before="0" w:afterAutospacing="0" w:after="0"/>
        <w:jc w:val="both"/>
        <w:rPr>
          <w:rFonts w:ascii="Times New Roman" w:hAnsi="Times New Roman" w:eastAsia="Cambria Math" w:cs="Times New Roman"/>
          <w:color w:val="auto"/>
          <w:kern w:val="2"/>
          <w:sz w:val="20"/>
          <w:szCs w:val="20"/>
          <w:lang w:val="ru-RU" w:eastAsia="ru-RU" w:bidi="ar-SA"/>
        </w:rPr>
      </w:pPr>
      <w:r>
        <w:rPr>
          <w:rStyle w:val="Style14"/>
        </w:rPr>
        <w:footnoteRef/>
      </w:r>
      <w:r>
        <w:rPr>
          <w:rFonts w:eastAsia="Cambria Math" w:cs="Times New Roman"/>
          <w:color w:val="auto"/>
          <w:kern w:val="2"/>
          <w:sz w:val="20"/>
          <w:szCs w:val="20"/>
          <w:lang w:val="ru-RU" w:eastAsia="ru-RU" w:bidi="ar-SA"/>
        </w:rPr>
        <w:t>Стоимость ценных бумаг, обращающихся на организованном рынке ценных бумаг, определяется как произведение рыночной цены ценной бумаги на количество списываемых ценных бумаг. Рыночная цена определяется в порядке, установленном главой 23 Налогового кодекса Российской Федерации.</w:t>
      </w:r>
    </w:p>
    <w:p>
      <w:pPr>
        <w:pStyle w:val="NormalWeb"/>
        <w:keepNext w:val="false"/>
        <w:keepLines w:val="false"/>
        <w:widowControl/>
        <w:spacing w:lineRule="auto" w:line="240" w:beforeAutospacing="0" w:before="0" w:afterAutospacing="0" w:after="0"/>
        <w:ind w:firstLine="200" w:left="0" w:right="0"/>
        <w:jc w:val="both"/>
        <w:rPr>
          <w:rFonts w:ascii="Times New Roman" w:hAnsi="Times New Roman" w:eastAsia="Cambria Math" w:cs="Times New Roman"/>
          <w:color w:val="auto"/>
          <w:kern w:val="2"/>
          <w:sz w:val="20"/>
          <w:szCs w:val="20"/>
          <w:lang w:val="ru-RU" w:eastAsia="ru-RU" w:bidi="ar-SA"/>
        </w:rPr>
      </w:pPr>
      <w:r>
        <w:rPr>
          <w:rFonts w:eastAsia="Cambria Math" w:cs="Times New Roman"/>
          <w:color w:val="auto"/>
          <w:kern w:val="2"/>
          <w:sz w:val="20"/>
          <w:szCs w:val="20"/>
          <w:lang w:val="ru-RU" w:eastAsia="ru-RU" w:bidi="ar-SA"/>
        </w:rPr>
        <w:t>Стоимость ценных бумаг, не обращающихся на организованном рынке ценных бумаг, определяется исходя из количества ценных бумаг и цены ценной бумаги, указанных в распоряжении (ином документе для проведения операции), но не ниже номинальной стоимости ценных бумаг.</w:t>
      </w:r>
    </w:p>
    <w:p>
      <w:pPr>
        <w:pStyle w:val="NormalWeb"/>
        <w:keepNext w:val="false"/>
        <w:keepLines w:val="false"/>
        <w:widowControl/>
        <w:spacing w:lineRule="auto" w:line="240" w:beforeAutospacing="0" w:before="0" w:afterAutospacing="0" w:after="0"/>
        <w:ind w:firstLine="200" w:left="0" w:right="0"/>
        <w:jc w:val="both"/>
        <w:rPr/>
      </w:pPr>
      <w:r>
        <w:rPr>
          <w:rFonts w:eastAsia="Cambria Math" w:cs="Times New Roman"/>
          <w:color w:val="auto"/>
          <w:kern w:val="2"/>
          <w:sz w:val="20"/>
          <w:szCs w:val="20"/>
          <w:lang w:val="ru-RU" w:eastAsia="ru-RU" w:bidi="ar-SA"/>
        </w:rPr>
        <w:t>В случае предоставления отчета об оценке ценных бумаг, предусмотренного законодательством Российской Федерации об оценочной деятельности, стоимость ценных бумаг определяется по цене ценной бумаги, указанной в отчете об оценке ценных бумаг.</w:t>
      </w:r>
    </w:p>
  </w:footnote>
  <w:footnote w:id="4">
    <w:p>
      <w:pPr>
        <w:pStyle w:val="Normal"/>
        <w:spacing w:before="0" w:after="0"/>
        <w:jc w:val="both"/>
        <w:rPr>
          <w:rFonts w:ascii="Times New Roman" w:hAnsi="Times New Roman" w:eastAsia="Times New Roman"/>
          <w:sz w:val="20"/>
          <w:szCs w:val="24"/>
        </w:rPr>
      </w:pPr>
      <w:r>
        <w:rPr>
          <w:rStyle w:val="Style14"/>
        </w:rPr>
        <w:footnoteRef/>
      </w:r>
      <w:r>
        <w:rPr>
          <w:lang w:val="ru-RU"/>
        </w:rPr>
        <w:t xml:space="preserve">Стоимость ценных бумаг определяется </w:t>
      </w:r>
      <w:r>
        <w:rPr>
          <w:rFonts w:eastAsia="Times New Roman"/>
          <w:sz w:val="20"/>
          <w:szCs w:val="24"/>
        </w:rPr>
        <w:t xml:space="preserve">в соответствии с требованиями </w:t>
      </w:r>
      <w:hyperlink r:id="rId1">
        <w:r>
          <w:rPr>
            <w:rFonts w:eastAsia="Times New Roman"/>
            <w:color w:val="auto"/>
            <w:sz w:val="20"/>
            <w:szCs w:val="24"/>
          </w:rPr>
          <w:t>подпунктов 5</w:t>
        </w:r>
      </w:hyperlink>
      <w:r>
        <w:rPr>
          <w:rFonts w:eastAsia="Times New Roman"/>
          <w:color w:val="auto"/>
          <w:sz w:val="20"/>
          <w:szCs w:val="24"/>
        </w:rPr>
        <w:t xml:space="preserve">, </w:t>
      </w:r>
      <w:hyperlink r:id="rId2">
        <w:r>
          <w:rPr>
            <w:rFonts w:eastAsia="Times New Roman"/>
            <w:color w:val="auto"/>
            <w:sz w:val="20"/>
            <w:szCs w:val="24"/>
          </w:rPr>
          <w:t>10</w:t>
        </w:r>
      </w:hyperlink>
      <w:r>
        <w:rPr>
          <w:rFonts w:eastAsia="Times New Roman"/>
          <w:color w:val="auto"/>
          <w:sz w:val="20"/>
          <w:szCs w:val="24"/>
        </w:rPr>
        <w:t xml:space="preserve"> и </w:t>
      </w:r>
      <w:hyperlink r:id="rId3">
        <w:r>
          <w:rPr>
            <w:rFonts w:eastAsia="Times New Roman"/>
            <w:color w:val="auto"/>
            <w:sz w:val="20"/>
            <w:szCs w:val="24"/>
          </w:rPr>
          <w:t>12 пункта 1 статьи 333.25</w:t>
        </w:r>
      </w:hyperlink>
      <w:r>
        <w:rPr>
          <w:rFonts w:eastAsia="Times New Roman"/>
          <w:color w:val="auto"/>
          <w:sz w:val="20"/>
          <w:szCs w:val="24"/>
        </w:rPr>
        <w:t xml:space="preserve"> </w:t>
      </w:r>
      <w:r>
        <w:rPr>
          <w:rFonts w:eastAsia="Times New Roman"/>
          <w:sz w:val="20"/>
          <w:szCs w:val="24"/>
        </w:rPr>
        <w:t>Налогового кодекса Российской Федерации с учетом округления до целого числа по правилам математического округления</w:t>
      </w:r>
    </w:p>
  </w:footnote>
</w:footnotes>
</file>

<file path=word/settings.xml><?xml version="1.0" encoding="utf-8"?>
<w:settings xmlns:w="http://schemas.openxmlformats.org/wordprocessingml/2006/main">
  <w:zoom w:percent="140"/>
  <w:defaultTabStop w:val="708"/>
  <w:autoHyphenation w:val="true"/>
  <w:footnotePr>
    <w:numFmt w:val="decimal"/>
    <w:footnote w:id="0"/>
    <w:footnote w:id="1"/>
  </w:footnotePr>
  <w:compat>
    <w:doNotExpandShiftReturn/>
    <w:doNotBreakWrappedTables/>
    <w:compatSetting w:name="compatibilityMode" w:uri="http://schemas.microsoft.com/office/word" w:val="12"/>
  </w:compat>
  <w:themeFontLang w:val="" w:eastAsia="" w:bidi=""/>
  <w:docVars>
    <w:docVar w:name="1" w:val="TMLBFSR"/>
    <w:docVar w:name="2" w:val="MMFHSST"/>
    <w:docVar w:name="I" w:val=" 268"/>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qFormat="1"/>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qFormat="1"/>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qFormat="1"/>
    <w:lsdException w:name="Body Text" w:uiPriority="0" w:semiHidden="0" w:unhideWhenUsed="0" w:qFormat="1"/>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qFormat="1"/>
    <w:lsdException w:name="Table Grid" w:uiPriority="0" w:semiHidden="0" w:unhideWhenUsed="0"/>
    <w:lsdException w:name="Table Theme" w:uiPriority="0" w:semiHidden="0" w:unhideWhenUsed="0"/>
  </w:latentStyles>
  <w:style w:type="paragraph" w:styleId="Normal" w:default="1">
    <w:name w:val="Normal"/>
    <w:uiPriority w:val="0"/>
    <w:qFormat/>
    <w:pPr>
      <w:widowControl/>
      <w:suppressAutoHyphens w:val="true"/>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styleId="DefaultParagraphFont" w:default="1">
    <w:name w:val="Default Paragraph Font"/>
    <w:uiPriority w:val="0"/>
    <w:qFormat/>
    <w:rPr/>
  </w:style>
  <w:style w:type="character" w:styleId="Style14" w:customStyle="1">
    <w:name w:val="Символ сноски"/>
    <w:uiPriority w:val="0"/>
    <w:qFormat/>
    <w:rPr>
      <w:sz w:val="24"/>
      <w:szCs w:val="24"/>
      <w:vertAlign w:val="superscript"/>
    </w:rPr>
  </w:style>
  <w:style w:type="character" w:styleId="FootnoteReference">
    <w:name w:val="Footnote Reference"/>
    <w:rPr>
      <w:sz w:val="24"/>
      <w:szCs w:val="24"/>
      <w:vertAlign w:val="superscript"/>
    </w:rPr>
  </w:style>
  <w:style w:type="character" w:styleId="Style15" w:customStyle="1">
    <w:name w:val="Символ концевой сноски"/>
    <w:uiPriority w:val="0"/>
    <w:qFormat/>
    <w:rPr>
      <w:sz w:val="24"/>
      <w:szCs w:val="24"/>
      <w:vertAlign w:val="superscript"/>
    </w:rPr>
  </w:style>
  <w:style w:type="character" w:styleId="EndnoteReference">
    <w:name w:val="Endnote Reference"/>
    <w:rPr>
      <w:sz w:val="24"/>
      <w:szCs w:val="24"/>
      <w:vertAlign w:val="superscript"/>
    </w:rPr>
  </w:style>
  <w:style w:type="character" w:styleId="Hyperlink">
    <w:name w:val="Hyperlink"/>
    <w:uiPriority w:val="0"/>
    <w:rPr>
      <w:color w:val="000080"/>
      <w:u w:val="single"/>
    </w:rPr>
  </w:style>
  <w:style w:type="character" w:styleId="Style16" w:customStyle="1">
    <w:name w:val="Основной шрифт"/>
    <w:uiPriority w:val="0"/>
    <w:qFormat/>
    <w:rPr/>
  </w:style>
  <w:style w:type="character" w:styleId="Style17" w:customStyle="1">
    <w:name w:val="Верхний колонтитул Знак"/>
    <w:basedOn w:val="DefaultParagraphFont"/>
    <w:uiPriority w:val="0"/>
    <w:qFormat/>
    <w:rPr/>
  </w:style>
  <w:style w:type="character" w:styleId="Style18" w:customStyle="1">
    <w:name w:val="Нижний колонтитул Знак"/>
    <w:basedOn w:val="DefaultParagraphFont"/>
    <w:uiPriority w:val="0"/>
    <w:qFormat/>
    <w:rPr/>
  </w:style>
  <w:style w:type="character" w:styleId="Style19" w:customStyle="1">
    <w:name w:val="Основной текст Знак"/>
    <w:basedOn w:val="DefaultParagraphFont"/>
    <w:uiPriority w:val="0"/>
    <w:qFormat/>
    <w:rPr/>
  </w:style>
  <w:style w:type="character" w:styleId="Style20" w:customStyle="1">
    <w:name w:val="Текст выноски Знак"/>
    <w:basedOn w:val="DefaultParagraphFont"/>
    <w:uiPriority w:val="0"/>
    <w:qFormat/>
    <w:rPr>
      <w:rFonts w:ascii="Tahoma" w:hAnsi="Tahoma" w:cs="Tahoma"/>
      <w:sz w:val="16"/>
      <w:szCs w:val="16"/>
    </w:rPr>
  </w:style>
  <w:style w:type="character" w:styleId="Style21" w:customStyle="1">
    <w:name w:val="Текст концевой сноски Знак"/>
    <w:basedOn w:val="DefaultParagraphFont"/>
    <w:uiPriority w:val="0"/>
    <w:qFormat/>
    <w:rPr/>
  </w:style>
  <w:style w:type="character" w:styleId="Style22" w:customStyle="1">
    <w:name w:val="Текст сноски Знак"/>
    <w:basedOn w:val="DefaultParagraphFont"/>
    <w:uiPriority w:val="0"/>
    <w:qFormat/>
    <w:rPr/>
  </w:style>
  <w:style w:type="paragraph" w:styleId="Style23" w:customStyle="1">
    <w:name w:val="Заголовок"/>
    <w:basedOn w:val="Normal"/>
    <w:next w:val="BodyText"/>
    <w:uiPriority w:val="0"/>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0"/>
    <w:qFormat/>
    <w:pPr>
      <w:jc w:val="both"/>
    </w:pPr>
    <w:rPr>
      <w:b/>
      <w:bCs/>
      <w:sz w:val="18"/>
      <w:szCs w:val="18"/>
    </w:rPr>
  </w:style>
  <w:style w:type="paragraph" w:styleId="List">
    <w:name w:val="List"/>
    <w:basedOn w:val="BodyText"/>
    <w:uiPriority w:val="0"/>
    <w:qFormat/>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4">
    <w:name w:val="Указатель"/>
    <w:basedOn w:val="Normal"/>
    <w:qFormat/>
    <w:pPr>
      <w:suppressLineNumbers/>
    </w:pPr>
    <w:rPr>
      <w:rFonts w:cs="Arial Unicode MS"/>
    </w:rPr>
  </w:style>
  <w:style w:type="paragraph" w:styleId="BalloonText">
    <w:name w:val="Balloon Text"/>
    <w:basedOn w:val="Normal"/>
    <w:uiPriority w:val="0"/>
    <w:qFormat/>
    <w:pPr/>
    <w:rPr>
      <w:rFonts w:ascii="Tahoma" w:hAnsi="Tahoma" w:cs="Tahoma"/>
      <w:sz w:val="16"/>
      <w:szCs w:val="16"/>
    </w:rPr>
  </w:style>
  <w:style w:type="paragraph" w:styleId="EndnoteText">
    <w:name w:val="Endnote Text"/>
    <w:basedOn w:val="Normal"/>
    <w:uiPriority w:val="0"/>
    <w:qFormat/>
    <w:pPr/>
    <w:rPr/>
  </w:style>
  <w:style w:type="paragraph" w:styleId="Caption1">
    <w:name w:val="caption1"/>
    <w:basedOn w:val="Normal"/>
    <w:uiPriority w:val="0"/>
    <w:qFormat/>
    <w:pPr>
      <w:suppressLineNumbers/>
      <w:spacing w:before="120" w:after="120"/>
    </w:pPr>
    <w:rPr>
      <w:rFonts w:cs="Lucida Sans"/>
      <w:i/>
      <w:iCs/>
      <w:sz w:val="24"/>
      <w:szCs w:val="24"/>
    </w:rPr>
  </w:style>
  <w:style w:type="paragraph" w:styleId="FootnoteText">
    <w:name w:val="Footnote Text"/>
    <w:basedOn w:val="Normal"/>
    <w:uiPriority w:val="0"/>
    <w:qFormat/>
    <w:pPr/>
    <w:rPr/>
  </w:style>
  <w:style w:type="paragraph" w:styleId="Style25" w:customStyle="1">
    <w:name w:val="Колонтитул"/>
    <w:basedOn w:val="Normal"/>
    <w:uiPriority w:val="0"/>
    <w:qFormat/>
    <w:pPr/>
    <w:rPr/>
  </w:style>
  <w:style w:type="paragraph" w:styleId="Header">
    <w:name w:val="Header"/>
    <w:basedOn w:val="Normal"/>
    <w:uiPriority w:val="0"/>
    <w:qFormat/>
    <w:pPr>
      <w:tabs>
        <w:tab w:val="clear" w:pos="708"/>
        <w:tab w:val="center" w:pos="4153" w:leader="none"/>
        <w:tab w:val="right" w:pos="8306" w:leader="none"/>
      </w:tabs>
    </w:pPr>
    <w:rPr/>
  </w:style>
  <w:style w:type="paragraph" w:styleId="Footer">
    <w:name w:val="Footer"/>
    <w:basedOn w:val="Normal"/>
    <w:uiPriority w:val="0"/>
    <w:qFormat/>
    <w:pPr>
      <w:tabs>
        <w:tab w:val="clear" w:pos="708"/>
        <w:tab w:val="center" w:pos="4153" w:leader="none"/>
        <w:tab w:val="right" w:pos="8306" w:leader="none"/>
      </w:tabs>
    </w:pPr>
    <w:rPr/>
  </w:style>
  <w:style w:type="paragraph" w:styleId="NormalWeb">
    <w:name w:val="Normal (Web)"/>
    <w:uiPriority w:val="0"/>
    <w:qFormat/>
    <w:pPr>
      <w:widowControl/>
      <w:suppressAutoHyphens w:val="true"/>
      <w:bidi w:val="0"/>
      <w:spacing w:lineRule="auto" w:line="276" w:beforeAutospacing="1" w:afterAutospacing="0" w:after="0"/>
      <w:ind w:left="0" w:right="0"/>
      <w:jc w:val="left"/>
    </w:pPr>
    <w:rPr>
      <w:rFonts w:ascii="Times New Roman" w:hAnsi="Times New Roman" w:eastAsia="SimSun" w:cs="Times New Roman"/>
      <w:color w:val="auto"/>
      <w:kern w:val="0"/>
      <w:sz w:val="24"/>
      <w:szCs w:val="24"/>
      <w:lang w:val="en-US" w:eastAsia="zh-CN" w:bidi="ar-SA"/>
    </w:rPr>
  </w:style>
  <w:style w:type="paragraph" w:styleId="11" w:customStyle="1">
    <w:name w:val="Указатель11"/>
    <w:basedOn w:val="Normal"/>
    <w:uiPriority w:val="0"/>
    <w:qFormat/>
    <w:pPr>
      <w:suppressLineNumbers/>
    </w:pPr>
    <w:rPr>
      <w:rFonts w:cs="Lucida Sans"/>
    </w:rPr>
  </w:style>
  <w:style w:type="paragraph" w:styleId="Caption11" w:customStyle="1">
    <w:name w:val="caption11"/>
    <w:basedOn w:val="Normal"/>
    <w:uiPriority w:val="0"/>
    <w:qFormat/>
    <w:pPr>
      <w:suppressLineNumbers/>
      <w:spacing w:before="120" w:after="120"/>
    </w:pPr>
    <w:rPr>
      <w:rFonts w:cs="Lucida Sans"/>
      <w:i/>
      <w:iCs/>
      <w:sz w:val="24"/>
      <w:szCs w:val="24"/>
    </w:rPr>
  </w:style>
  <w:style w:type="paragraph" w:styleId="1" w:customStyle="1">
    <w:name w:val="Указатель1"/>
    <w:basedOn w:val="Normal"/>
    <w:uiPriority w:val="0"/>
    <w:qFormat/>
    <w:pPr>
      <w:suppressLineNumbers/>
    </w:pPr>
    <w:rPr>
      <w:rFonts w:cs="Lucida Sans"/>
    </w:rPr>
  </w:style>
  <w:style w:type="paragraph" w:styleId="12" w:customStyle="1">
    <w:name w:val="Обычная таблица1"/>
    <w:uiPriority w:val="0"/>
    <w:qFormat/>
    <w:pPr>
      <w:widowControl/>
      <w:suppressAutoHyphens w:val="true"/>
      <w:bidi w:val="0"/>
      <w:spacing w:lineRule="auto" w:line="276" w:before="0" w:after="200"/>
      <w:jc w:val="left"/>
      <w:textAlignment w:val="auto"/>
    </w:pPr>
    <w:rPr>
      <w:rFonts w:ascii="Times New Roman" w:hAnsi="Times New Roman" w:eastAsia="Cambria Math" w:cs="Times New Roman"/>
      <w:color w:val="auto"/>
      <w:kern w:val="2"/>
      <w:sz w:val="22"/>
      <w:szCs w:val="22"/>
      <w:lang w:val="ru-RU" w:eastAsia="ru-RU" w:bidi="ar-SA"/>
    </w:rPr>
  </w:style>
  <w:style w:type="paragraph" w:styleId="ConsCell" w:customStyle="1">
    <w:name w:val="ConsCell"/>
    <w:uiPriority w:val="0"/>
    <w:qFormat/>
    <w:pPr>
      <w:widowControl w:val="false"/>
      <w:suppressAutoHyphens w:val="true"/>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styleId="Default" w:customStyle="1">
    <w:name w:val="Default"/>
    <w:uiPriority w:val="0"/>
    <w:qFormat/>
    <w:pPr>
      <w:widowControl/>
      <w:suppressAutoHyphens w:val="true"/>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styleId="ConsPlusNormal" w:customStyle="1">
    <w:name w:val="ConsPlusNormal"/>
    <w:uiPriority w:val="0"/>
    <w:qFormat/>
    <w:pPr>
      <w:widowControl w:val="false"/>
      <w:suppressAutoHyphens w:val="true"/>
      <w:bidi w:val="0"/>
      <w:spacing w:before="0" w:after="0"/>
      <w:jc w:val="left"/>
      <w:textAlignment w:val="auto"/>
    </w:pPr>
    <w:rPr>
      <w:rFonts w:ascii="Calibri" w:hAnsi="Calibri" w:eastAsia="Cambria Math" w:cs="Calibri"/>
      <w:color w:val="auto"/>
      <w:kern w:val="2"/>
      <w:sz w:val="22"/>
      <w:szCs w:val="20"/>
      <w:lang w:val="ru-RU" w:eastAsia="ru-RU" w:bidi="ar-SA"/>
    </w:rPr>
  </w:style>
  <w:style w:type="table" w:default="1" w:styleId="3">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otnotes.xml.rels><?xml version="1.0" encoding="UTF-8"?>
<Relationships xmlns="http://schemas.openxmlformats.org/package/2006/relationships"><Relationship Id="rId1" Type="http://schemas.openxmlformats.org/officeDocument/2006/relationships/hyperlink" Target="https://login.consultant.ru/link/?req=doc&amp;base=LAW&amp;n=508518&amp;dst=7541" TargetMode="External"/><Relationship Id="rId2" Type="http://schemas.openxmlformats.org/officeDocument/2006/relationships/hyperlink" Target="https://login.consultant.ru/link/?req=doc&amp;base=LAW&amp;n=508518&amp;dst=8145" TargetMode="External"/><Relationship Id="rId3" Type="http://schemas.openxmlformats.org/officeDocument/2006/relationships/hyperlink" Target="https://login.consultant.ru/link/?req=doc&amp;base=LAW&amp;n=508518&amp;dst=931"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173</TotalTime>
  <Application>LibreOffice/7.6.1.2$Windows_X86_64 LibreOffice_project/f5defcebd022c5bc36bbb79be232cb6926d8f674</Application>
  <AppVersion>15.0000</AppVersion>
  <Pages>3</Pages>
  <Words>1089</Words>
  <Characters>6650</Characters>
  <CharactersWithSpaces>7606</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2025-07-08T07:24:00Z</dcterms:created>
  <dc:creator>izvereva</dc:creator>
  <dc:description/>
  <dc:language>ru-RU</dc:language>
  <cp:lastModifiedBy/>
  <cp:lastPrinted>2025-07-25T13:42:00Z</cp:lastPrinted>
  <dcterms:modified xsi:type="dcterms:W3CDTF">2025-12-16T14:37:15Z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5D33346C459C4C54A4964017F3C2B7E8_13</vt:lpwstr>
  </property>
  <property fmtid="{D5CDD505-2E9C-101B-9397-08002B2CF9AE}" pid="3" name="KSOProductBuildVer">
    <vt:lpwstr>1049-12.2.0.21546</vt:lpwstr>
  </property>
  <property fmtid="{D5CDD505-2E9C-101B-9397-08002B2CF9AE}" pid="4" name="Operator">
    <vt:lpwstr>Kev</vt:lpwstr>
  </property>
</Properties>
</file>